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67" w:rsidRPr="00294FEA" w:rsidRDefault="00927CD1" w:rsidP="002526AC">
      <w:pPr>
        <w:spacing w:after="160"/>
        <w:rPr>
          <w:rFonts w:ascii="Arial" w:hAnsi="Arial" w:cs="Arial"/>
          <w:b/>
          <w:sz w:val="20"/>
          <w:szCs w:val="20"/>
          <w:lang w:val="e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-7620</wp:posOffset>
            </wp:positionV>
            <wp:extent cx="12573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73" y="21355"/>
                <wp:lineTo x="21273" y="0"/>
                <wp:lineTo x="0" y="0"/>
              </wp:wrapPolygon>
            </wp:wrapTight>
            <wp:docPr id="2" name="图片 2" descr="2寸-彩色白底-SH-PAR-GUAN FENG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寸-彩色白底-SH-PAR-GUAN FENG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FEA" w:rsidRPr="00294FEA">
        <w:rPr>
          <w:rFonts w:ascii="Arial" w:hAnsi="Arial" w:cs="Arial"/>
          <w:b/>
          <w:sz w:val="20"/>
          <w:szCs w:val="20"/>
          <w:lang w:val="en"/>
        </w:rPr>
        <w:t>GUAN FENG</w:t>
      </w:r>
    </w:p>
    <w:p w:rsidR="00007A9F" w:rsidRPr="00117B6F" w:rsidRDefault="00117B6F" w:rsidP="002526AC">
      <w:pPr>
        <w:spacing w:after="160"/>
        <w:rPr>
          <w:rFonts w:ascii="Arial" w:hAnsi="Arial" w:cs="Arial"/>
          <w:sz w:val="20"/>
          <w:szCs w:val="20"/>
        </w:rPr>
      </w:pPr>
      <w:r w:rsidRPr="00117B6F">
        <w:rPr>
          <w:rFonts w:ascii="Arial" w:hAnsi="Arial" w:cs="Arial"/>
          <w:sz w:val="20"/>
          <w:szCs w:val="20"/>
        </w:rPr>
        <w:t>Partner, Chief Compliance Officer</w:t>
      </w:r>
      <w:r>
        <w:rPr>
          <w:rFonts w:ascii="Arial" w:hAnsi="Arial" w:cs="Arial" w:hint="eastAsia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17B6F">
        <w:rPr>
          <w:rFonts w:ascii="Arial" w:hAnsi="Arial" w:cs="Arial"/>
          <w:sz w:val="20"/>
          <w:szCs w:val="20"/>
        </w:rPr>
        <w:t>Shanghai</w:t>
      </w:r>
    </w:p>
    <w:p w:rsidR="00007A9F" w:rsidRPr="00294FEA" w:rsidRDefault="00007A9F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 xml:space="preserve">Email: </w:t>
      </w:r>
      <w:hyperlink r:id="rId7" w:history="1">
        <w:r w:rsidRPr="00294FEA">
          <w:rPr>
            <w:rStyle w:val="a9"/>
            <w:rFonts w:ascii="Arial" w:hAnsi="Arial" w:cs="Arial"/>
            <w:sz w:val="20"/>
            <w:szCs w:val="20"/>
            <w:lang w:val="en"/>
          </w:rPr>
          <w:t>guanfeng@cn.kwm.com</w:t>
        </w:r>
      </w:hyperlink>
    </w:p>
    <w:p w:rsidR="00007A9F" w:rsidRPr="00294FEA" w:rsidRDefault="00660CA9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>Tel: +86 21 24126025</w:t>
      </w:r>
    </w:p>
    <w:p w:rsidR="00660CA9" w:rsidRPr="00294FEA" w:rsidRDefault="00660CA9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>Fax: +86 21</w:t>
      </w:r>
      <w:r w:rsidR="00737CA7">
        <w:rPr>
          <w:rFonts w:ascii="Arial" w:hAnsi="Arial" w:cs="Arial" w:hint="eastAsia"/>
          <w:sz w:val="20"/>
          <w:szCs w:val="20"/>
          <w:lang w:val="en"/>
        </w:rPr>
        <w:t xml:space="preserve"> </w:t>
      </w:r>
      <w:r w:rsidRPr="00294FEA">
        <w:rPr>
          <w:rFonts w:ascii="Arial" w:hAnsi="Arial" w:cs="Arial"/>
          <w:sz w:val="20"/>
          <w:szCs w:val="20"/>
          <w:lang w:val="en"/>
        </w:rPr>
        <w:t>24126150</w:t>
      </w:r>
    </w:p>
    <w:p w:rsidR="00660CA9" w:rsidRPr="00294FEA" w:rsidRDefault="002526AC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>Office: Shanghai</w:t>
      </w:r>
    </w:p>
    <w:p w:rsidR="00117B6F" w:rsidRDefault="00117B6F" w:rsidP="00117B6F">
      <w:pPr>
        <w:spacing w:after="160"/>
        <w:rPr>
          <w:rFonts w:ascii="Arial" w:hAnsi="Arial" w:cs="Arial"/>
          <w:b/>
          <w:bCs/>
          <w:sz w:val="20"/>
          <w:szCs w:val="20"/>
        </w:rPr>
      </w:pPr>
    </w:p>
    <w:p w:rsidR="00117B6F" w:rsidRPr="00117B6F" w:rsidRDefault="00117B6F" w:rsidP="00117B6F">
      <w:pPr>
        <w:spacing w:after="160"/>
        <w:rPr>
          <w:rFonts w:ascii="Arial" w:hAnsi="Arial" w:cs="Arial"/>
          <w:sz w:val="20"/>
          <w:szCs w:val="20"/>
        </w:rPr>
      </w:pPr>
      <w:r w:rsidRPr="00117B6F">
        <w:rPr>
          <w:rFonts w:ascii="Arial" w:hAnsi="Arial" w:cs="Arial"/>
          <w:b/>
          <w:bCs/>
          <w:sz w:val="20"/>
          <w:szCs w:val="20"/>
        </w:rPr>
        <w:t>Areas of practice</w:t>
      </w:r>
    </w:p>
    <w:p w:rsidR="00A67667" w:rsidRPr="00294FEA" w:rsidRDefault="00A67667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 xml:space="preserve">Mr. Guan Feng's main area of practice is </w:t>
      </w:r>
      <w:r w:rsidR="00660CA9" w:rsidRPr="00294FEA">
        <w:rPr>
          <w:rFonts w:ascii="Arial" w:hAnsi="Arial" w:cs="Arial"/>
          <w:sz w:val="20"/>
          <w:szCs w:val="20"/>
          <w:lang w:val="en"/>
        </w:rPr>
        <w:t xml:space="preserve">cross-border </w:t>
      </w:r>
      <w:r w:rsidRPr="00294FEA">
        <w:rPr>
          <w:rFonts w:ascii="Arial" w:hAnsi="Arial" w:cs="Arial"/>
          <w:sz w:val="20"/>
          <w:szCs w:val="20"/>
          <w:lang w:val="en"/>
        </w:rPr>
        <w:t>litigation and arbitration</w:t>
      </w:r>
      <w:r w:rsidR="00660CA9" w:rsidRPr="00294FEA">
        <w:rPr>
          <w:rFonts w:ascii="Arial" w:hAnsi="Arial" w:cs="Arial"/>
          <w:sz w:val="20"/>
          <w:szCs w:val="20"/>
          <w:lang w:val="en"/>
        </w:rPr>
        <w:t>, especially cases</w:t>
      </w:r>
      <w:r w:rsidRPr="00294FEA">
        <w:rPr>
          <w:rFonts w:ascii="Arial" w:hAnsi="Arial" w:cs="Arial"/>
          <w:sz w:val="20"/>
          <w:szCs w:val="20"/>
          <w:lang w:val="en"/>
        </w:rPr>
        <w:t xml:space="preserve"> pertaining to finance, </w:t>
      </w:r>
      <w:r w:rsidR="00660CA9" w:rsidRPr="00294FEA">
        <w:rPr>
          <w:rFonts w:ascii="Arial" w:hAnsi="Arial" w:cs="Arial"/>
          <w:sz w:val="20"/>
          <w:szCs w:val="20"/>
          <w:lang w:val="en"/>
        </w:rPr>
        <w:t>asset management, equity,</w:t>
      </w:r>
      <w:r w:rsidRPr="00294FEA">
        <w:rPr>
          <w:rFonts w:ascii="Arial" w:hAnsi="Arial" w:cs="Arial"/>
          <w:sz w:val="20"/>
          <w:szCs w:val="20"/>
          <w:lang w:val="en"/>
        </w:rPr>
        <w:t xml:space="preserve"> insurance, product liability</w:t>
      </w:r>
      <w:r w:rsidR="00F36596" w:rsidRPr="00294FEA">
        <w:rPr>
          <w:rFonts w:ascii="Arial" w:hAnsi="Arial" w:cs="Arial"/>
          <w:sz w:val="20"/>
          <w:szCs w:val="20"/>
          <w:lang w:val="en"/>
        </w:rPr>
        <w:t xml:space="preserve"> and commercial contracts</w:t>
      </w:r>
      <w:r w:rsidRPr="00294FEA">
        <w:rPr>
          <w:rFonts w:ascii="Arial" w:hAnsi="Arial" w:cs="Arial"/>
          <w:sz w:val="20"/>
          <w:szCs w:val="20"/>
          <w:lang w:val="en"/>
        </w:rPr>
        <w:t>.</w:t>
      </w:r>
    </w:p>
    <w:p w:rsidR="00D477A9" w:rsidRPr="00294FEA" w:rsidRDefault="00A67667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>Mr. Guan has extensive practical and research ex</w:t>
      </w:r>
      <w:r w:rsidR="002526AC" w:rsidRPr="00294FEA">
        <w:rPr>
          <w:rFonts w:ascii="Arial" w:hAnsi="Arial" w:cs="Arial"/>
          <w:sz w:val="20"/>
          <w:szCs w:val="20"/>
          <w:lang w:val="en"/>
        </w:rPr>
        <w:t>perience in the area of banking, asset management</w:t>
      </w:r>
      <w:r w:rsidR="00737CA7">
        <w:rPr>
          <w:rFonts w:ascii="Arial" w:hAnsi="Arial" w:cs="Arial" w:hint="eastAsia"/>
          <w:sz w:val="20"/>
          <w:szCs w:val="20"/>
          <w:lang w:val="en"/>
        </w:rPr>
        <w:t xml:space="preserve"> and</w:t>
      </w:r>
      <w:r w:rsidR="002526AC" w:rsidRPr="00294FEA">
        <w:rPr>
          <w:rFonts w:ascii="Arial" w:hAnsi="Arial" w:cs="Arial"/>
          <w:sz w:val="20"/>
          <w:szCs w:val="20"/>
          <w:lang w:val="en"/>
        </w:rPr>
        <w:t xml:space="preserve"> </w:t>
      </w:r>
      <w:r w:rsidR="00927CD1">
        <w:rPr>
          <w:rFonts w:ascii="Arial" w:hAnsi="Arial" w:cs="Arial" w:hint="eastAsia"/>
          <w:sz w:val="20"/>
          <w:szCs w:val="20"/>
          <w:lang w:val="en"/>
        </w:rPr>
        <w:t>der</w:t>
      </w:r>
      <w:r w:rsidR="00927CD1">
        <w:rPr>
          <w:rFonts w:ascii="Arial" w:hAnsi="Arial" w:cs="Arial"/>
          <w:sz w:val="20"/>
          <w:szCs w:val="20"/>
          <w:lang w:val="en"/>
        </w:rPr>
        <w:t>ivatives products</w:t>
      </w:r>
      <w:r w:rsidRPr="00294FEA">
        <w:rPr>
          <w:rFonts w:ascii="Arial" w:hAnsi="Arial" w:cs="Arial"/>
          <w:sz w:val="20"/>
          <w:szCs w:val="20"/>
          <w:lang w:val="en"/>
        </w:rPr>
        <w:t xml:space="preserve"> dispute resolution. </w:t>
      </w:r>
      <w:r w:rsidR="00D477A9" w:rsidRPr="00294FEA">
        <w:rPr>
          <w:rFonts w:ascii="Arial" w:hAnsi="Arial" w:cs="Arial"/>
          <w:sz w:val="20"/>
          <w:szCs w:val="20"/>
          <w:lang w:val="en"/>
        </w:rPr>
        <w:t xml:space="preserve"> </w:t>
      </w:r>
      <w:r w:rsidRPr="00294FEA">
        <w:rPr>
          <w:rFonts w:ascii="Arial" w:hAnsi="Arial" w:cs="Arial"/>
          <w:sz w:val="20"/>
          <w:szCs w:val="20"/>
          <w:lang w:val="en"/>
        </w:rPr>
        <w:t xml:space="preserve">In addition to traditional </w:t>
      </w:r>
      <w:r w:rsidR="00927CD1">
        <w:rPr>
          <w:rFonts w:ascii="Arial" w:hAnsi="Arial" w:cs="Arial"/>
          <w:sz w:val="20"/>
          <w:szCs w:val="20"/>
          <w:lang w:val="en"/>
        </w:rPr>
        <w:t>loan</w:t>
      </w:r>
      <w:r w:rsidRPr="00294FEA">
        <w:rPr>
          <w:rFonts w:ascii="Arial" w:hAnsi="Arial" w:cs="Arial"/>
          <w:sz w:val="20"/>
          <w:szCs w:val="20"/>
          <w:lang w:val="en"/>
        </w:rPr>
        <w:t xml:space="preserve"> </w:t>
      </w:r>
      <w:r w:rsidR="00D477A9" w:rsidRPr="00294FEA">
        <w:rPr>
          <w:rFonts w:ascii="Arial" w:hAnsi="Arial" w:cs="Arial"/>
          <w:sz w:val="20"/>
          <w:szCs w:val="20"/>
          <w:lang w:val="en"/>
        </w:rPr>
        <w:t xml:space="preserve">and collateral </w:t>
      </w:r>
      <w:r w:rsidR="00927CD1">
        <w:rPr>
          <w:rFonts w:ascii="Arial" w:hAnsi="Arial" w:cs="Arial"/>
          <w:sz w:val="20"/>
          <w:szCs w:val="20"/>
          <w:lang w:val="en"/>
        </w:rPr>
        <w:t>enforcement</w:t>
      </w:r>
      <w:r w:rsidRPr="00294FEA">
        <w:rPr>
          <w:rFonts w:ascii="Arial" w:hAnsi="Arial" w:cs="Arial"/>
          <w:sz w:val="20"/>
          <w:szCs w:val="20"/>
          <w:lang w:val="en"/>
        </w:rPr>
        <w:t>, he regularly represents foreign banks and multinational companies in handling cases in connection with financial derivative</w:t>
      </w:r>
      <w:r w:rsidR="00D477A9" w:rsidRPr="00294FEA">
        <w:rPr>
          <w:rFonts w:ascii="Arial" w:hAnsi="Arial" w:cs="Arial"/>
          <w:sz w:val="20"/>
          <w:szCs w:val="20"/>
          <w:lang w:val="en"/>
        </w:rPr>
        <w:t xml:space="preserve">s products, </w:t>
      </w:r>
      <w:r w:rsidRPr="00294FEA">
        <w:rPr>
          <w:rFonts w:ascii="Arial" w:hAnsi="Arial" w:cs="Arial"/>
          <w:sz w:val="20"/>
          <w:szCs w:val="20"/>
          <w:lang w:val="en"/>
        </w:rPr>
        <w:t xml:space="preserve">futures </w:t>
      </w:r>
      <w:r w:rsidR="00D477A9" w:rsidRPr="00294FEA">
        <w:rPr>
          <w:rFonts w:ascii="Arial" w:hAnsi="Arial" w:cs="Arial"/>
          <w:sz w:val="20"/>
          <w:szCs w:val="20"/>
          <w:lang w:val="en"/>
        </w:rPr>
        <w:t xml:space="preserve">and stock option </w:t>
      </w:r>
      <w:r w:rsidRPr="00294FEA">
        <w:rPr>
          <w:rFonts w:ascii="Arial" w:hAnsi="Arial" w:cs="Arial"/>
          <w:sz w:val="20"/>
          <w:szCs w:val="20"/>
          <w:lang w:val="en"/>
        </w:rPr>
        <w:t>transactions</w:t>
      </w:r>
      <w:r w:rsidR="00737CA7">
        <w:rPr>
          <w:rFonts w:ascii="Arial" w:hAnsi="Arial" w:cs="Arial" w:hint="eastAsia"/>
          <w:sz w:val="20"/>
          <w:szCs w:val="20"/>
          <w:lang w:val="en"/>
        </w:rPr>
        <w:t xml:space="preserve"> and </w:t>
      </w:r>
      <w:r w:rsidR="00A45F85">
        <w:rPr>
          <w:rFonts w:ascii="Arial" w:hAnsi="Arial" w:cs="Arial" w:hint="eastAsia"/>
          <w:sz w:val="20"/>
          <w:szCs w:val="20"/>
          <w:lang w:val="en"/>
        </w:rPr>
        <w:t xml:space="preserve">suspension of payment under letters of credit and independent guarantees </w:t>
      </w:r>
      <w:r w:rsidR="00526710">
        <w:rPr>
          <w:rFonts w:ascii="Arial" w:hAnsi="Arial" w:cs="Arial" w:hint="eastAsia"/>
          <w:sz w:val="20"/>
          <w:szCs w:val="20"/>
          <w:lang w:val="en"/>
        </w:rPr>
        <w:t xml:space="preserve">based on fraud exception </w:t>
      </w:r>
      <w:r w:rsidR="00A45F85">
        <w:rPr>
          <w:rFonts w:ascii="Arial" w:hAnsi="Arial" w:cs="Arial" w:hint="eastAsia"/>
          <w:sz w:val="20"/>
          <w:szCs w:val="20"/>
          <w:lang w:val="en"/>
        </w:rPr>
        <w:t>in the area of international trading</w:t>
      </w:r>
      <w:r w:rsidRPr="00294FEA">
        <w:rPr>
          <w:rFonts w:ascii="Arial" w:hAnsi="Arial" w:cs="Arial"/>
          <w:sz w:val="20"/>
          <w:szCs w:val="20"/>
          <w:lang w:val="en"/>
        </w:rPr>
        <w:t xml:space="preserve">. </w:t>
      </w:r>
      <w:r w:rsidR="00D477A9" w:rsidRPr="00294FEA">
        <w:rPr>
          <w:rFonts w:ascii="Arial" w:hAnsi="Arial" w:cs="Arial"/>
          <w:sz w:val="20"/>
          <w:szCs w:val="20"/>
          <w:lang w:val="en"/>
        </w:rPr>
        <w:t xml:space="preserve"> Moreover, Mr. Guan has been retained by financial institutions including banks, securities companies, trust companies, fund companies, futures companies, etc. to deal with </w:t>
      </w:r>
      <w:r w:rsidR="00F215C9" w:rsidRPr="00294FEA">
        <w:rPr>
          <w:rFonts w:ascii="Arial" w:hAnsi="Arial" w:cs="Arial"/>
          <w:sz w:val="20"/>
          <w:szCs w:val="20"/>
          <w:lang w:val="en"/>
        </w:rPr>
        <w:t xml:space="preserve">numerous asset </w:t>
      </w:r>
      <w:r w:rsidR="00526710">
        <w:rPr>
          <w:rFonts w:ascii="Arial" w:hAnsi="Arial" w:cs="Arial"/>
          <w:sz w:val="20"/>
          <w:szCs w:val="20"/>
          <w:lang w:val="en"/>
        </w:rPr>
        <w:t>management disputes which cover</w:t>
      </w:r>
      <w:r w:rsidR="00F215C9" w:rsidRPr="00294FEA">
        <w:rPr>
          <w:rFonts w:ascii="Arial" w:hAnsi="Arial" w:cs="Arial"/>
          <w:sz w:val="20"/>
          <w:szCs w:val="20"/>
          <w:lang w:val="en"/>
        </w:rPr>
        <w:t xml:space="preserve"> the protection and recourse of investment, the legal effect of the structur</w:t>
      </w:r>
      <w:r w:rsidR="00927CD1">
        <w:rPr>
          <w:rFonts w:ascii="Arial" w:hAnsi="Arial" w:cs="Arial"/>
          <w:sz w:val="20"/>
          <w:szCs w:val="20"/>
          <w:lang w:val="en"/>
        </w:rPr>
        <w:t>ed</w:t>
      </w:r>
      <w:r w:rsidR="00F215C9" w:rsidRPr="00294FEA">
        <w:rPr>
          <w:rFonts w:ascii="Arial" w:hAnsi="Arial" w:cs="Arial"/>
          <w:sz w:val="20"/>
          <w:szCs w:val="20"/>
          <w:lang w:val="en"/>
        </w:rPr>
        <w:t xml:space="preserve"> asset management products and the </w:t>
      </w:r>
      <w:r w:rsidR="00927CD1">
        <w:rPr>
          <w:rFonts w:ascii="Arial" w:hAnsi="Arial" w:cs="Arial"/>
          <w:sz w:val="20"/>
          <w:szCs w:val="20"/>
          <w:lang w:val="en"/>
        </w:rPr>
        <w:t>boundary</w:t>
      </w:r>
      <w:r w:rsidR="00F215C9" w:rsidRPr="00294FEA">
        <w:rPr>
          <w:rFonts w:ascii="Arial" w:hAnsi="Arial" w:cs="Arial"/>
          <w:sz w:val="20"/>
          <w:szCs w:val="20"/>
          <w:lang w:val="en"/>
        </w:rPr>
        <w:t xml:space="preserve"> of rights and obligations of the parties involved in asset management activities</w:t>
      </w:r>
      <w:r w:rsidR="00526710">
        <w:rPr>
          <w:rFonts w:ascii="Arial" w:hAnsi="Arial" w:cs="Arial" w:hint="eastAsia"/>
          <w:sz w:val="20"/>
          <w:szCs w:val="20"/>
          <w:lang w:val="en"/>
        </w:rPr>
        <w:t>,</w:t>
      </w:r>
      <w:r w:rsidR="00F215C9" w:rsidRPr="00294FEA">
        <w:rPr>
          <w:rFonts w:ascii="Arial" w:hAnsi="Arial" w:cs="Arial"/>
          <w:sz w:val="20"/>
          <w:szCs w:val="20"/>
          <w:lang w:val="en"/>
        </w:rPr>
        <w:t xml:space="preserve"> including </w:t>
      </w:r>
      <w:r w:rsidR="00927CD1">
        <w:rPr>
          <w:rFonts w:ascii="Arial" w:hAnsi="Arial" w:cs="Arial"/>
          <w:sz w:val="20"/>
          <w:szCs w:val="20"/>
          <w:lang w:val="en"/>
        </w:rPr>
        <w:t xml:space="preserve">being trustee </w:t>
      </w:r>
      <w:r w:rsidR="00F215C9" w:rsidRPr="00294FEA">
        <w:rPr>
          <w:rFonts w:ascii="Arial" w:hAnsi="Arial" w:cs="Arial"/>
          <w:sz w:val="20"/>
          <w:szCs w:val="20"/>
          <w:lang w:val="en"/>
        </w:rPr>
        <w:t>and custodian of a product.</w:t>
      </w:r>
    </w:p>
    <w:p w:rsidR="00D477A9" w:rsidRPr="00294FEA" w:rsidRDefault="00F215C9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 xml:space="preserve">Mr. Guan has acted on behalf of company clients to deal with a number of equity dispute cases, including </w:t>
      </w:r>
      <w:r w:rsidR="00BC6D4E">
        <w:rPr>
          <w:rFonts w:ascii="Arial" w:hAnsi="Arial" w:cs="Arial" w:hint="eastAsia"/>
          <w:sz w:val="20"/>
          <w:szCs w:val="20"/>
          <w:lang w:val="en"/>
        </w:rPr>
        <w:t xml:space="preserve">ascertainment of the </w:t>
      </w:r>
      <w:r w:rsidRPr="00294FEA">
        <w:rPr>
          <w:rFonts w:ascii="Arial" w:hAnsi="Arial" w:cs="Arial"/>
          <w:sz w:val="20"/>
          <w:szCs w:val="20"/>
          <w:lang w:val="en"/>
        </w:rPr>
        <w:t>legal effect of equity transfer, the triggers of a buy-back clause and disputes arisen</w:t>
      </w:r>
      <w:r w:rsidR="00927CD1">
        <w:rPr>
          <w:rFonts w:ascii="Arial" w:hAnsi="Arial" w:cs="Arial"/>
          <w:sz w:val="20"/>
          <w:szCs w:val="20"/>
          <w:lang w:val="en"/>
        </w:rPr>
        <w:t xml:space="preserve"> from</w:t>
      </w:r>
      <w:r w:rsidRPr="00294FEA">
        <w:rPr>
          <w:rFonts w:ascii="Arial" w:hAnsi="Arial" w:cs="Arial"/>
          <w:sz w:val="20"/>
          <w:szCs w:val="20"/>
          <w:lang w:val="en"/>
        </w:rPr>
        <w:t xml:space="preserve"> the </w:t>
      </w:r>
      <w:r w:rsidR="00927CD1">
        <w:rPr>
          <w:rFonts w:ascii="Arial" w:hAnsi="Arial" w:cs="Arial"/>
          <w:sz w:val="20"/>
          <w:szCs w:val="20"/>
          <w:lang w:val="en"/>
        </w:rPr>
        <w:t>fiduciary duties, etc.</w:t>
      </w:r>
    </w:p>
    <w:p w:rsidR="00A67667" w:rsidRDefault="00A67667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>In the area of insurance and product liability</w:t>
      </w:r>
      <w:r w:rsidR="008533BD">
        <w:rPr>
          <w:rFonts w:ascii="Arial" w:hAnsi="Arial" w:cs="Arial"/>
          <w:sz w:val="20"/>
          <w:szCs w:val="20"/>
          <w:lang w:val="en"/>
        </w:rPr>
        <w:t>,</w:t>
      </w:r>
      <w:r w:rsidRPr="00294FEA">
        <w:rPr>
          <w:rFonts w:ascii="Arial" w:hAnsi="Arial" w:cs="Arial"/>
          <w:sz w:val="20"/>
          <w:szCs w:val="20"/>
          <w:lang w:val="en"/>
        </w:rPr>
        <w:t xml:space="preserve"> he has advised numerous well-known international insurance companies on complex legal matters, including the val</w:t>
      </w:r>
      <w:r w:rsidR="008533BD">
        <w:rPr>
          <w:rFonts w:ascii="Arial" w:hAnsi="Arial" w:cs="Arial"/>
          <w:sz w:val="20"/>
          <w:szCs w:val="20"/>
          <w:lang w:val="en"/>
        </w:rPr>
        <w:t>idity of insurance policies</w:t>
      </w:r>
      <w:r w:rsidRPr="00294FEA">
        <w:rPr>
          <w:rFonts w:ascii="Arial" w:hAnsi="Arial" w:cs="Arial"/>
          <w:sz w:val="20"/>
          <w:szCs w:val="20"/>
          <w:lang w:val="en"/>
        </w:rPr>
        <w:t>, insurance claim settlement negotiations, legal opinions on insurance disputes, and reinsurance. He has participated in much large-scale litigation, some of which have had implications for insurance law and business practices.</w:t>
      </w:r>
    </w:p>
    <w:p w:rsidR="00117B6F" w:rsidRPr="00117B6F" w:rsidRDefault="00117B6F" w:rsidP="002526AC">
      <w:pPr>
        <w:spacing w:after="160"/>
        <w:rPr>
          <w:rFonts w:ascii="Arial" w:hAnsi="Arial" w:cs="Arial"/>
          <w:sz w:val="20"/>
          <w:szCs w:val="20"/>
        </w:rPr>
      </w:pPr>
      <w:r w:rsidRPr="00117B6F">
        <w:rPr>
          <w:rFonts w:ascii="Arial" w:hAnsi="Arial" w:cs="Arial"/>
          <w:b/>
          <w:bCs/>
          <w:sz w:val="20"/>
          <w:szCs w:val="20"/>
        </w:rPr>
        <w:t>Work experience</w:t>
      </w:r>
    </w:p>
    <w:p w:rsidR="00B462D5" w:rsidRPr="00294FEA" w:rsidRDefault="00A67667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>Feng Guan joined King &amp; Wood Mallesons' Shanghai office in 2001</w:t>
      </w:r>
      <w:r w:rsidR="00B462D5" w:rsidRPr="00294FEA">
        <w:rPr>
          <w:rFonts w:ascii="Arial" w:hAnsi="Arial" w:cs="Arial"/>
          <w:sz w:val="20"/>
          <w:szCs w:val="20"/>
          <w:lang w:val="en"/>
        </w:rPr>
        <w:t xml:space="preserve"> and is a partner of the firm</w:t>
      </w:r>
      <w:r w:rsidRPr="00294FEA">
        <w:rPr>
          <w:rFonts w:ascii="Arial" w:hAnsi="Arial" w:cs="Arial"/>
          <w:sz w:val="20"/>
          <w:szCs w:val="20"/>
          <w:lang w:val="en"/>
        </w:rPr>
        <w:t>.</w:t>
      </w:r>
      <w:r w:rsidR="00B462D5" w:rsidRPr="00294FEA">
        <w:rPr>
          <w:rFonts w:ascii="Arial" w:hAnsi="Arial" w:cs="Arial"/>
          <w:sz w:val="20"/>
          <w:szCs w:val="20"/>
          <w:lang w:val="en"/>
        </w:rPr>
        <w:t xml:space="preserve"> </w:t>
      </w:r>
      <w:r w:rsidRPr="00294FEA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A67667" w:rsidRPr="00294FEA" w:rsidRDefault="00A67667" w:rsidP="002526AC">
      <w:pPr>
        <w:spacing w:after="160"/>
        <w:rPr>
          <w:rFonts w:ascii="Arial" w:hAnsi="Arial" w:cs="Arial"/>
          <w:sz w:val="20"/>
          <w:szCs w:val="20"/>
          <w:lang w:val="en"/>
        </w:rPr>
      </w:pPr>
      <w:r w:rsidRPr="00294FEA">
        <w:rPr>
          <w:rFonts w:ascii="Arial" w:hAnsi="Arial" w:cs="Arial"/>
          <w:sz w:val="20"/>
          <w:szCs w:val="20"/>
          <w:lang w:val="en"/>
        </w:rPr>
        <w:t xml:space="preserve">Mr. Guan graduated from Northwestern University Law School with a LL.M. </w:t>
      </w:r>
      <w:r w:rsidR="00B462D5" w:rsidRPr="00294FEA">
        <w:rPr>
          <w:rFonts w:ascii="Arial" w:hAnsi="Arial" w:cs="Arial"/>
          <w:sz w:val="20"/>
          <w:szCs w:val="20"/>
          <w:lang w:val="en"/>
        </w:rPr>
        <w:t xml:space="preserve"> </w:t>
      </w:r>
      <w:r w:rsidRPr="00294FEA">
        <w:rPr>
          <w:rFonts w:ascii="Arial" w:hAnsi="Arial" w:cs="Arial"/>
          <w:sz w:val="20"/>
          <w:szCs w:val="20"/>
          <w:lang w:val="en"/>
        </w:rPr>
        <w:t xml:space="preserve">He attained his LL.B. from Fudan University Law School and a B.A. from Central Southern University of Foreign Languages and Trade. </w:t>
      </w:r>
      <w:r w:rsidR="00B462D5" w:rsidRPr="00294FEA">
        <w:rPr>
          <w:rFonts w:ascii="Arial" w:hAnsi="Arial" w:cs="Arial"/>
          <w:sz w:val="20"/>
          <w:szCs w:val="20"/>
          <w:lang w:val="en"/>
        </w:rPr>
        <w:t xml:space="preserve"> </w:t>
      </w:r>
      <w:r w:rsidRPr="00294FEA">
        <w:rPr>
          <w:rFonts w:ascii="Arial" w:hAnsi="Arial" w:cs="Arial"/>
          <w:sz w:val="20"/>
          <w:szCs w:val="20"/>
          <w:lang w:val="en"/>
        </w:rPr>
        <w:t xml:space="preserve">He </w:t>
      </w:r>
      <w:r w:rsidR="008533BD">
        <w:rPr>
          <w:rFonts w:ascii="Arial" w:hAnsi="Arial" w:cs="Arial"/>
          <w:sz w:val="20"/>
          <w:szCs w:val="20"/>
          <w:lang w:val="en"/>
        </w:rPr>
        <w:t xml:space="preserve">was </w:t>
      </w:r>
      <w:r w:rsidRPr="00294FEA">
        <w:rPr>
          <w:rFonts w:ascii="Arial" w:hAnsi="Arial" w:cs="Arial"/>
          <w:sz w:val="20"/>
          <w:szCs w:val="20"/>
          <w:lang w:val="en"/>
        </w:rPr>
        <w:t>qualified as a PRC lawyer in 1996 and passed the New York State Bar in 2003. He is a registered PRC lawyer and New York State attorney.</w:t>
      </w:r>
    </w:p>
    <w:p w:rsidR="00650204" w:rsidRPr="00650204" w:rsidRDefault="00650204" w:rsidP="00650204">
      <w:pPr>
        <w:spacing w:after="160"/>
        <w:rPr>
          <w:rFonts w:ascii="Arial" w:hAnsi="Arial" w:cs="Arial"/>
          <w:sz w:val="20"/>
          <w:szCs w:val="20"/>
        </w:rPr>
      </w:pPr>
      <w:r w:rsidRPr="00650204">
        <w:rPr>
          <w:rFonts w:ascii="Arial" w:hAnsi="Arial" w:cs="Arial"/>
          <w:sz w:val="20"/>
          <w:szCs w:val="20"/>
        </w:rPr>
        <w:t xml:space="preserve">Mr. Guan Feng is an arbitrator of the China International Economic and Trade Arbitration </w:t>
      </w:r>
      <w:r w:rsidRPr="00650204">
        <w:rPr>
          <w:rFonts w:ascii="Arial" w:hAnsi="Arial" w:cs="Arial"/>
          <w:sz w:val="20"/>
          <w:szCs w:val="20"/>
        </w:rPr>
        <w:lastRenderedPageBreak/>
        <w:t>Commission (CIETAC) (finance), Shanghai International Economic and Trade Arbitration Commission (</w:t>
      </w:r>
      <w:r w:rsidR="008533BD">
        <w:rPr>
          <w:rFonts w:ascii="Arial" w:hAnsi="Arial" w:cs="Arial"/>
          <w:sz w:val="20"/>
          <w:szCs w:val="20"/>
        </w:rPr>
        <w:t>SHIAC</w:t>
      </w:r>
      <w:r w:rsidRPr="00650204">
        <w:rPr>
          <w:rFonts w:ascii="Arial" w:hAnsi="Arial" w:cs="Arial"/>
          <w:sz w:val="20"/>
          <w:szCs w:val="20"/>
        </w:rPr>
        <w:t>) (finance), Shanghai Arbitration Commission (SA</w:t>
      </w:r>
      <w:bookmarkStart w:id="0" w:name="_GoBack"/>
      <w:bookmarkEnd w:id="0"/>
      <w:r w:rsidRPr="00650204">
        <w:rPr>
          <w:rFonts w:ascii="Arial" w:hAnsi="Arial" w:cs="Arial"/>
          <w:sz w:val="20"/>
          <w:szCs w:val="20"/>
        </w:rPr>
        <w:t>C) (finance), Hangzhou Arbitration Commission (HAC) (finance), and a mediator of the Jiangsu International Commercial Legal Service Center.</w:t>
      </w:r>
    </w:p>
    <w:p w:rsidR="00A67667" w:rsidRPr="00650204" w:rsidRDefault="00A67667" w:rsidP="002526AC">
      <w:pPr>
        <w:spacing w:after="160"/>
        <w:rPr>
          <w:rFonts w:ascii="Arial" w:hAnsi="Arial" w:cs="Arial"/>
          <w:sz w:val="20"/>
          <w:szCs w:val="20"/>
        </w:rPr>
      </w:pPr>
    </w:p>
    <w:sectPr w:rsidR="00A67667" w:rsidRPr="0065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CC" w:rsidRDefault="00D93DCC" w:rsidP="007E5781">
      <w:r>
        <w:separator/>
      </w:r>
    </w:p>
  </w:endnote>
  <w:endnote w:type="continuationSeparator" w:id="0">
    <w:p w:rsidR="00D93DCC" w:rsidRDefault="00D93DCC" w:rsidP="007E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CC" w:rsidRDefault="00D93DCC" w:rsidP="007E5781">
      <w:r>
        <w:separator/>
      </w:r>
    </w:p>
  </w:footnote>
  <w:footnote w:type="continuationSeparator" w:id="0">
    <w:p w:rsidR="00D93DCC" w:rsidRDefault="00D93DCC" w:rsidP="007E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C"/>
    <w:rsid w:val="00007A9F"/>
    <w:rsid w:val="00030992"/>
    <w:rsid w:val="00117B6F"/>
    <w:rsid w:val="002526AC"/>
    <w:rsid w:val="00294FEA"/>
    <w:rsid w:val="002F372C"/>
    <w:rsid w:val="004F27AF"/>
    <w:rsid w:val="00526710"/>
    <w:rsid w:val="00650204"/>
    <w:rsid w:val="00660CA9"/>
    <w:rsid w:val="00737CA7"/>
    <w:rsid w:val="007E5781"/>
    <w:rsid w:val="008533BD"/>
    <w:rsid w:val="008E2861"/>
    <w:rsid w:val="00927CD1"/>
    <w:rsid w:val="00A45F85"/>
    <w:rsid w:val="00A67667"/>
    <w:rsid w:val="00B132CA"/>
    <w:rsid w:val="00B462D5"/>
    <w:rsid w:val="00BC6D4E"/>
    <w:rsid w:val="00C27478"/>
    <w:rsid w:val="00D477A9"/>
    <w:rsid w:val="00D93DCC"/>
    <w:rsid w:val="00F215C9"/>
    <w:rsid w:val="00F36596"/>
    <w:rsid w:val="00F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89D6D"/>
  <w15:docId w15:val="{34DD210C-B5EA-4FBA-9631-457F9093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781"/>
    <w:rPr>
      <w:sz w:val="18"/>
      <w:szCs w:val="18"/>
    </w:rPr>
  </w:style>
  <w:style w:type="paragraph" w:customStyle="1" w:styleId="KWBodytext">
    <w:name w:val="K&amp;W Body text"/>
    <w:basedOn w:val="a"/>
    <w:rsid w:val="007E5781"/>
    <w:pPr>
      <w:widowControl/>
      <w:spacing w:after="280" w:line="240" w:lineRule="atLeast"/>
    </w:pPr>
    <w:rPr>
      <w:rFonts w:ascii="Arial" w:eastAsia="楷体_GB2312" w:hAnsi="Arial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E57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5781"/>
    <w:rPr>
      <w:sz w:val="18"/>
      <w:szCs w:val="18"/>
    </w:rPr>
  </w:style>
  <w:style w:type="character" w:styleId="a9">
    <w:name w:val="Hyperlink"/>
    <w:basedOn w:val="a0"/>
    <w:uiPriority w:val="99"/>
    <w:unhideWhenUsed/>
    <w:rsid w:val="0000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anfeng@cn.kw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Yifan</dc:creator>
  <cp:lastModifiedBy>KWM</cp:lastModifiedBy>
  <cp:revision>3</cp:revision>
  <dcterms:created xsi:type="dcterms:W3CDTF">2023-11-09T07:02:00Z</dcterms:created>
  <dcterms:modified xsi:type="dcterms:W3CDTF">2023-11-09T07:05:00Z</dcterms:modified>
</cp:coreProperties>
</file>