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75" w:rsidRDefault="00AC0259" w:rsidP="00B16B2B">
      <w:pPr>
        <w:pStyle w:val="AOEpicCVContactBody"/>
        <w:framePr w:w="2999" w:h="5445" w:hRule="exact" w:hSpace="180" w:wrap="around" w:vAnchor="text" w:hAnchor="page" w:x="1021"/>
      </w:pPr>
      <w:r>
        <w:rPr>
          <w:noProof/>
          <w:lang w:eastAsia="en-GB"/>
        </w:rPr>
        <w:drawing>
          <wp:inline distT="0" distB="0" distL="0" distR="0">
            <wp:extent cx="1257300" cy="1514475"/>
            <wp:effectExtent l="0" t="0" r="0" b="0"/>
            <wp:docPr id="2" name="Picture 2" descr="High Res Phot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gh Res Photo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75" w:rsidRDefault="007C3E15" w:rsidP="00B16B2B">
      <w:pPr>
        <w:pStyle w:val="AOEpicCVContactBody"/>
        <w:framePr w:w="2999" w:h="5445" w:hRule="exact" w:hSpace="180" w:wrap="around" w:vAnchor="text" w:hAnchor="page" w:x="1021"/>
      </w:pPr>
    </w:p>
    <w:p w:rsidR="00256575" w:rsidRPr="00A5600E" w:rsidRDefault="00AC0259" w:rsidP="00B16B2B">
      <w:pPr>
        <w:pStyle w:val="AOEpicCVName"/>
        <w:framePr w:w="2999" w:h="5445" w:hRule="exact" w:hSpace="180" w:wrap="around" w:vAnchor="text" w:hAnchor="page" w:x="1021"/>
      </w:pPr>
      <w:r>
        <w:rPr>
          <w:noProof/>
        </w:rPr>
        <w:t>Emma Dwyer</w:t>
      </w:r>
    </w:p>
    <w:p w:rsidR="00256575" w:rsidRDefault="00AC0259" w:rsidP="00A3464C">
      <w:pPr>
        <w:pStyle w:val="AOEpicCVTitle"/>
        <w:framePr w:w="2999" w:h="5445" w:hRule="exact" w:hSpace="180" w:wrap="around" w:vAnchor="text" w:hAnchor="page" w:x="1021"/>
      </w:pPr>
      <w:r>
        <w:rPr>
          <w:noProof/>
        </w:rPr>
        <w:t>Partner</w:t>
      </w:r>
      <w:r>
        <w:t xml:space="preserve"> - </w:t>
      </w:r>
      <w:r>
        <w:rPr>
          <w:noProof/>
        </w:rPr>
        <w:t>London</w:t>
      </w:r>
    </w:p>
    <w:p w:rsidR="00256575" w:rsidRPr="00A5600E" w:rsidRDefault="00AC0259" w:rsidP="00B16B2B">
      <w:pPr>
        <w:pStyle w:val="AOEpicCVContactHeading"/>
        <w:framePr w:w="2999" w:h="5445" w:hRule="exact" w:hSpace="180" w:wrap="around" w:vAnchor="text" w:hAnchor="page" w:x="1021"/>
      </w:pPr>
      <w:r w:rsidRPr="00A5600E">
        <w:t>Contact</w:t>
      </w:r>
    </w:p>
    <w:p w:rsidR="00256575" w:rsidRDefault="00AC0259" w:rsidP="004B49C3">
      <w:pPr>
        <w:pStyle w:val="AOEpicCVContactBody"/>
        <w:framePr w:w="2999" w:h="5445" w:hRule="exact" w:hSpace="180" w:wrap="around" w:vAnchor="text" w:hAnchor="page" w:x="1021"/>
      </w:pPr>
      <w:r>
        <w:t xml:space="preserve">Tel </w:t>
      </w:r>
      <w:r>
        <w:rPr>
          <w:noProof/>
        </w:rPr>
        <w:t>+44 20 3088 3754</w:t>
      </w:r>
    </w:p>
    <w:p w:rsidR="00256575" w:rsidRDefault="00AC0259" w:rsidP="004B49C3">
      <w:pPr>
        <w:pStyle w:val="AOEpicCVContactBody"/>
        <w:framePr w:w="2999" w:h="5445" w:hRule="exact" w:hSpace="180" w:wrap="around" w:vAnchor="text" w:hAnchor="page" w:x="1021"/>
      </w:pPr>
      <w:r>
        <w:t xml:space="preserve">Mob </w:t>
      </w:r>
      <w:r>
        <w:rPr>
          <w:noProof/>
        </w:rPr>
        <w:t>+44 7767 674 269</w:t>
      </w:r>
    </w:p>
    <w:p w:rsidR="00256575" w:rsidRDefault="00AC0259" w:rsidP="00B16B2B">
      <w:pPr>
        <w:pStyle w:val="AOEpicCVContactBody"/>
        <w:framePr w:w="2999" w:h="5445" w:hRule="exact" w:hSpace="180" w:wrap="around" w:vAnchor="text" w:hAnchor="page" w:x="1021"/>
      </w:pPr>
      <w:r>
        <w:rPr>
          <w:noProof/>
        </w:rPr>
        <w:t>emma.dwyer@allenovery.com</w:t>
      </w:r>
    </w:p>
    <w:p w:rsidR="00FC2C54" w:rsidRDefault="00AC0259" w:rsidP="00A51479">
      <w:pPr>
        <w:pStyle w:val="AOEpicNormal"/>
        <w:spacing w:before="240" w:after="0"/>
      </w:pPr>
      <w:r>
        <w:t xml:space="preserve">Emma is a partner in Allen &amp; </w:t>
      </w:r>
      <w:proofErr w:type="spellStart"/>
      <w:r>
        <w:t>Overy’s</w:t>
      </w:r>
      <w:proofErr w:type="spellEnd"/>
      <w:r>
        <w:t xml:space="preserve"> derivatives and structured finance team in London, a member of The Markets Innovation Group and advises on a broad range of issues relating to derivatives and structured finance transactions.  </w:t>
      </w:r>
    </w:p>
    <w:p w:rsidR="00173A05" w:rsidRDefault="00AC0259" w:rsidP="00FC2C54">
      <w:pPr>
        <w:pStyle w:val="AOEpicNormal"/>
        <w:spacing w:before="240" w:after="0"/>
      </w:pPr>
      <w:r>
        <w:t xml:space="preserve">Emma has </w:t>
      </w:r>
      <w:bookmarkStart w:id="0" w:name="_GoBack"/>
      <w:bookmarkEnd w:id="0"/>
      <w:r>
        <w:t xml:space="preserve">been heavily involved in the evolving market infrastructure built to address the OTC derivatives regulation, including in connection with clearing, </w:t>
      </w:r>
      <w:proofErr w:type="spellStart"/>
      <w:r>
        <w:t>uncleared</w:t>
      </w:r>
      <w:proofErr w:type="spellEnd"/>
      <w:r>
        <w:t xml:space="preserve"> margin and reporting.  Emma has worked closely with industry bodies including with ISDA, </w:t>
      </w:r>
      <w:proofErr w:type="spellStart"/>
      <w:r>
        <w:t>FIA</w:t>
      </w:r>
      <w:proofErr w:type="spellEnd"/>
      <w:r>
        <w:t xml:space="preserve"> Europe and </w:t>
      </w:r>
      <w:proofErr w:type="spellStart"/>
      <w:r>
        <w:t>SiFMA</w:t>
      </w:r>
      <w:proofErr w:type="spellEnd"/>
      <w:r>
        <w:t xml:space="preserve"> </w:t>
      </w:r>
      <w:proofErr w:type="spellStart"/>
      <w:r>
        <w:t>AMG</w:t>
      </w:r>
      <w:proofErr w:type="spellEnd"/>
      <w:r>
        <w:t>) on numerous OTC derivatives regulatory initiatives.</w:t>
      </w:r>
      <w:r w:rsidRPr="00196A61">
        <w:t xml:space="preserve"> </w:t>
      </w:r>
      <w:r>
        <w:t xml:space="preserve">Advisory work in recent years has also included regulatory capital treatment of cleared trades and IBOR transition and the impact on the derivatives markets and participants’ regulatory obligations.  </w:t>
      </w:r>
    </w:p>
    <w:p w:rsidR="00173A05" w:rsidRDefault="00AC0259">
      <w:pPr>
        <w:pStyle w:val="AOEpicNormal"/>
        <w:spacing w:before="240" w:after="0"/>
      </w:pPr>
      <w:r>
        <w:t xml:space="preserve">Emma advises a wide cross section of market participants, (including </w:t>
      </w:r>
      <w:proofErr w:type="spellStart"/>
      <w:r>
        <w:t>sellside</w:t>
      </w:r>
      <w:proofErr w:type="spellEnd"/>
      <w:r>
        <w:t xml:space="preserve"> and </w:t>
      </w:r>
      <w:proofErr w:type="spellStart"/>
      <w:r>
        <w:t>buyside</w:t>
      </w:r>
      <w:proofErr w:type="spellEnd"/>
      <w:r>
        <w:t xml:space="preserve">), market infrastructure providers (including </w:t>
      </w:r>
      <w:proofErr w:type="spellStart"/>
      <w:r>
        <w:t>CCPs</w:t>
      </w:r>
      <w:proofErr w:type="spellEnd"/>
      <w:r>
        <w:t xml:space="preserve"> and trade </w:t>
      </w:r>
      <w:proofErr w:type="gramStart"/>
      <w:r>
        <w:t>repositories) and trade associations on all aspects of derivatives regulatory implementation, documentation and advocacy</w:t>
      </w:r>
      <w:proofErr w:type="gramEnd"/>
      <w:r>
        <w:t xml:space="preserve"> and engages with regulators (in the US, Europe and the UK) in doing so.</w:t>
      </w:r>
    </w:p>
    <w:p w:rsidR="001A4905" w:rsidRDefault="00AC0259">
      <w:pPr>
        <w:pStyle w:val="AOEpicNormal"/>
        <w:spacing w:before="240" w:after="0"/>
      </w:pPr>
      <w:r>
        <w:t>As a key market educator, Emma continues to speak at many industry events for ISDA and others around the world on EMIR, Brexit and IBOR.</w:t>
      </w:r>
    </w:p>
    <w:p w:rsidR="007E2BE0" w:rsidRDefault="007E2BE0">
      <w:pPr>
        <w:pStyle w:val="AOEpicNormal"/>
        <w:spacing w:before="240" w:after="0"/>
      </w:pPr>
      <w:r w:rsidRPr="007E2BE0">
        <w:rPr>
          <w:color w:val="C00000"/>
        </w:rPr>
        <w:t>Experience highlights include:</w:t>
      </w:r>
    </w:p>
    <w:p w:rsidR="00DB0799" w:rsidRPr="0049515D" w:rsidRDefault="00DB0799" w:rsidP="00DB0799">
      <w:pPr>
        <w:pStyle w:val="AOEpicTableBullet"/>
        <w:rPr>
          <w:rFonts w:ascii="Times New Roman" w:hAnsi="Times New Roman"/>
          <w:sz w:val="20"/>
          <w:szCs w:val="20"/>
        </w:rPr>
      </w:pPr>
      <w:r w:rsidRPr="0049515D">
        <w:rPr>
          <w:rFonts w:ascii="Times New Roman" w:hAnsi="Times New Roman"/>
          <w:sz w:val="20"/>
          <w:szCs w:val="20"/>
        </w:rPr>
        <w:t xml:space="preserve">The LCH group on a wide range of strategic matters including most recently in relation to the introduction of </w:t>
      </w:r>
      <w:r w:rsidR="0049515D">
        <w:rPr>
          <w:rFonts w:ascii="Times New Roman" w:hAnsi="Times New Roman"/>
          <w:sz w:val="20"/>
          <w:szCs w:val="20"/>
        </w:rPr>
        <w:t>s</w:t>
      </w:r>
      <w:r w:rsidRPr="0049515D">
        <w:rPr>
          <w:rFonts w:ascii="Times New Roman" w:hAnsi="Times New Roman"/>
          <w:sz w:val="20"/>
          <w:szCs w:val="20"/>
        </w:rPr>
        <w:t xml:space="preserve">ettled to </w:t>
      </w:r>
      <w:r w:rsidR="0049515D">
        <w:rPr>
          <w:rFonts w:ascii="Times New Roman" w:hAnsi="Times New Roman"/>
          <w:sz w:val="20"/>
          <w:szCs w:val="20"/>
        </w:rPr>
        <w:t>m</w:t>
      </w:r>
      <w:r w:rsidRPr="0049515D">
        <w:rPr>
          <w:rFonts w:ascii="Times New Roman" w:hAnsi="Times New Roman"/>
          <w:sz w:val="20"/>
          <w:szCs w:val="20"/>
        </w:rPr>
        <w:t xml:space="preserve">arket mechanics and IBOR transition.  </w:t>
      </w:r>
    </w:p>
    <w:p w:rsidR="00A51479" w:rsidRPr="0049515D" w:rsidRDefault="00AC0259" w:rsidP="00A51479">
      <w:pPr>
        <w:pStyle w:val="AOEpicBodySubHeading"/>
      </w:pPr>
      <w:r w:rsidRPr="0049515D">
        <w:t>Career history</w:t>
      </w:r>
    </w:p>
    <w:p w:rsidR="00A51479" w:rsidRPr="007C06F2" w:rsidRDefault="00AC0259" w:rsidP="00A51479">
      <w:pPr>
        <w:pStyle w:val="AOEpicBullet"/>
      </w:pPr>
      <w:r>
        <w:t>Partner, Allen &amp; Overy LLP, London - 2012-present</w:t>
      </w:r>
    </w:p>
    <w:p w:rsidR="00173A05" w:rsidRDefault="00AC0259">
      <w:pPr>
        <w:pStyle w:val="AOEpicBullet"/>
      </w:pPr>
      <w:r>
        <w:t xml:space="preserve">Associate, Allen &amp; Overy LLP, London - 1998-2012 </w:t>
      </w:r>
    </w:p>
    <w:p w:rsidR="00E3527A" w:rsidRDefault="00AC0259">
      <w:pPr>
        <w:pStyle w:val="AOEpicBullet"/>
      </w:pPr>
      <w:r>
        <w:t>Trainee, Allen &amp; Overy LLP, London - 1996-1998</w:t>
      </w:r>
    </w:p>
    <w:p w:rsidR="003368B5" w:rsidRDefault="00AC0259" w:rsidP="00A51479">
      <w:pPr>
        <w:pStyle w:val="AOEpicBodySubHeading"/>
      </w:pPr>
      <w:r>
        <w:t>Legal qualifications</w:t>
      </w:r>
    </w:p>
    <w:p w:rsidR="00596144" w:rsidRDefault="00AC0259" w:rsidP="007A2C07">
      <w:pPr>
        <w:pStyle w:val="AOEpicBullet"/>
      </w:pPr>
      <w:r>
        <w:t>Admitted as solicitor, England and Wales, 1998</w:t>
      </w:r>
    </w:p>
    <w:p w:rsidR="003368B5" w:rsidRPr="00A5600E" w:rsidRDefault="00AC0259" w:rsidP="003368B5">
      <w:pPr>
        <w:pStyle w:val="AOEpicBodySubHeading"/>
      </w:pPr>
      <w:r>
        <w:t>Academic qualifications</w:t>
      </w:r>
    </w:p>
    <w:p w:rsidR="004B4D9E" w:rsidRPr="004B4D9E" w:rsidRDefault="00AC0259" w:rsidP="004B4D9E">
      <w:pPr>
        <w:pStyle w:val="AOEpicBullet"/>
      </w:pPr>
      <w:r>
        <w:t>BA Law, Fitzwilliam College, Cambridge University, 1994</w:t>
      </w:r>
    </w:p>
    <w:p w:rsidR="00072B35" w:rsidRPr="00A5600E" w:rsidRDefault="00AC0259" w:rsidP="00530FCB">
      <w:pPr>
        <w:pStyle w:val="AOEpicBodySubHeading"/>
      </w:pPr>
      <w:r w:rsidRPr="00A5600E">
        <w:t xml:space="preserve">Speaking </w:t>
      </w:r>
      <w:r w:rsidRPr="00072B35">
        <w:t>engagements</w:t>
      </w:r>
    </w:p>
    <w:p w:rsidR="00072B35" w:rsidRDefault="00AC0259" w:rsidP="00530FCB">
      <w:pPr>
        <w:pStyle w:val="AOEpicBullet"/>
      </w:pPr>
      <w:r>
        <w:t xml:space="preserve">Guest Speaker at </w:t>
      </w:r>
      <w:proofErr w:type="spellStart"/>
      <w:r>
        <w:t>BNP</w:t>
      </w:r>
      <w:proofErr w:type="spellEnd"/>
      <w:r>
        <w:t xml:space="preserve"> Paribas, Luxembourg – EMIR 360: Everything you need to know – September 2019</w:t>
      </w:r>
    </w:p>
    <w:p w:rsidR="00173A05" w:rsidRDefault="00AC0259">
      <w:pPr>
        <w:pStyle w:val="AOEpicBullet"/>
      </w:pPr>
      <w:r>
        <w:t>Guest Speaker at ISDA: Understanding Variation Margin Regulations and the 2016 ISDA Variation Margin Credit, September 2019</w:t>
      </w:r>
    </w:p>
    <w:p w:rsidR="00C71B3C" w:rsidRDefault="00AC0259">
      <w:pPr>
        <w:pStyle w:val="AOEpicBullet"/>
      </w:pPr>
      <w:r>
        <w:t xml:space="preserve">Guest Speaker at </w:t>
      </w:r>
      <w:proofErr w:type="spellStart"/>
      <w:r>
        <w:t>VOB</w:t>
      </w:r>
      <w:proofErr w:type="spellEnd"/>
      <w:r>
        <w:t xml:space="preserve"> Service Symposium, Germany - ISDA Update on Derivatives Market, November 2019</w:t>
      </w:r>
    </w:p>
    <w:p w:rsidR="003368B5" w:rsidRPr="00A5600E" w:rsidRDefault="00AC0259" w:rsidP="003368B5">
      <w:pPr>
        <w:pStyle w:val="AOEpicBodySubHeading"/>
      </w:pPr>
      <w:r w:rsidRPr="00072B35">
        <w:lastRenderedPageBreak/>
        <w:t>Languages</w:t>
      </w:r>
    </w:p>
    <w:p w:rsidR="003368B5" w:rsidRDefault="00AC0259" w:rsidP="003368B5">
      <w:pPr>
        <w:pStyle w:val="AOEpicBullet"/>
      </w:pPr>
      <w:r>
        <w:rPr>
          <w:noProof/>
        </w:rPr>
        <w:t>English</w:t>
      </w:r>
      <w:r>
        <w:t>, (</w:t>
      </w:r>
      <w:r>
        <w:rPr>
          <w:noProof/>
        </w:rPr>
        <w:t>Level 1 - Fluent/Bilingual</w:t>
      </w:r>
      <w:r>
        <w:t>)</w:t>
      </w:r>
    </w:p>
    <w:p w:rsidR="00173A05" w:rsidRDefault="00AC0259">
      <w:pPr>
        <w:pStyle w:val="AOEpicBullet"/>
      </w:pPr>
      <w:r>
        <w:rPr>
          <w:noProof/>
        </w:rPr>
        <w:t>French</w:t>
      </w:r>
      <w:r>
        <w:t>, (</w:t>
      </w:r>
      <w:r>
        <w:rPr>
          <w:noProof/>
        </w:rPr>
        <w:t>Level 4 - Can participate in business meetings/review simple documents</w:t>
      </w:r>
      <w:r>
        <w:t>)</w:t>
      </w:r>
    </w:p>
    <w:p w:rsidR="00DB0799" w:rsidRDefault="00DB0799">
      <w:pPr>
        <w:pStyle w:val="AOEpicBullet"/>
      </w:pPr>
    </w:p>
    <w:p w:rsidR="007A001A" w:rsidRDefault="007C3E15">
      <w:pPr>
        <w:pStyle w:val="AOEpicBody"/>
      </w:pPr>
    </w:p>
    <w:sectPr w:rsidR="007A001A" w:rsidSect="00FC2C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35" w:right="1021" w:bottom="1440" w:left="453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A05" w:rsidRDefault="00173A05" w:rsidP="00173A05">
      <w:r>
        <w:separator/>
      </w:r>
    </w:p>
  </w:endnote>
  <w:endnote w:type="continuationSeparator" w:id="0">
    <w:p w:rsidR="00173A05" w:rsidRDefault="00173A05" w:rsidP="0017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4AD" w:rsidRDefault="007C3E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4AD" w:rsidRDefault="007C3E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4AD" w:rsidRDefault="007C3E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A05" w:rsidRDefault="00173A05" w:rsidP="00173A05">
      <w:r>
        <w:separator/>
      </w:r>
    </w:p>
  </w:footnote>
  <w:footnote w:type="continuationSeparator" w:id="0">
    <w:p w:rsidR="00173A05" w:rsidRDefault="00173A05" w:rsidP="00173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4AD" w:rsidRDefault="007C3E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E9B" w:rsidRDefault="00AC0259" w:rsidP="00F962F0"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714375</wp:posOffset>
          </wp:positionH>
          <wp:positionV relativeFrom="paragraph">
            <wp:posOffset>0</wp:posOffset>
          </wp:positionV>
          <wp:extent cx="6105525" cy="447675"/>
          <wp:effectExtent l="0" t="0" r="0" b="0"/>
          <wp:wrapNone/>
          <wp:docPr id="1" name="Picture 3" descr="AO_Mat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O_Mat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E9B" w:rsidRDefault="007C3E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4AD" w:rsidRDefault="007C3E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06C5F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FA26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3C21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9C57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A4A9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3E0A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64E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9404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0E0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0E6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F0305"/>
    <w:multiLevelType w:val="multilevel"/>
    <w:tmpl w:val="A862508A"/>
    <w:lvl w:ilvl="0">
      <w:start w:val="1"/>
      <w:numFmt w:val="none"/>
      <w:pStyle w:val="AOEpicCVNam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pStyle w:val="AOEpicCVTitl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%3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%4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%5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%6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%1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05EA14C9"/>
    <w:multiLevelType w:val="multilevel"/>
    <w:tmpl w:val="768A261E"/>
    <w:lvl w:ilvl="0">
      <w:start w:val="1"/>
      <w:numFmt w:val="none"/>
      <w:pStyle w:val="AOEpicClient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AOEpicPitchTitl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9041B28"/>
    <w:multiLevelType w:val="multilevel"/>
    <w:tmpl w:val="70420B14"/>
    <w:lvl w:ilvl="0">
      <w:start w:val="1"/>
      <w:numFmt w:val="none"/>
      <w:pStyle w:val="AOEpicTBQuot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pStyle w:val="AOEpicTBQuoteName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C251364"/>
    <w:multiLevelType w:val="multilevel"/>
    <w:tmpl w:val="1DA0E9DC"/>
    <w:lvl w:ilvl="0">
      <w:start w:val="1"/>
      <w:numFmt w:val="bullet"/>
      <w:pStyle w:val="AOEpicTable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none"/>
      <w:pStyle w:val="AOEpicTableBody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AOEpicSubSubHeading"/>
      <w:lvlText w:val="%3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pStyle w:val="AOEpicBodySubHeading"/>
      <w:lvlText w:val="%4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AOEpicSubHeading"/>
      <w:lvlText w:val="%5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pStyle w:val="AOEpicBodySubPar"/>
      <w:lvlText w:val="%6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pStyle w:val="AOEpicCaseStudy"/>
      <w:lvlText w:val="%7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%1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13136E63"/>
    <w:multiLevelType w:val="hybridMultilevel"/>
    <w:tmpl w:val="DD8E3742"/>
    <w:lvl w:ilvl="0" w:tplc="79148F40">
      <w:start w:val="1"/>
      <w:numFmt w:val="bullet"/>
      <w:pStyle w:val="AOEpic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A55B5"/>
    <w:multiLevelType w:val="hybridMultilevel"/>
    <w:tmpl w:val="5E3A57BE"/>
    <w:lvl w:ilvl="0" w:tplc="93C8FBD4">
      <w:start w:val="1"/>
      <w:numFmt w:val="bullet"/>
      <w:pStyle w:val="AOEpicSub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E56CA"/>
    <w:multiLevelType w:val="hybridMultilevel"/>
    <w:tmpl w:val="50401118"/>
    <w:lvl w:ilvl="0" w:tplc="D466C820">
      <w:start w:val="1"/>
      <w:numFmt w:val="bullet"/>
      <w:pStyle w:val="AOEpicKeyfactsLis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14C16"/>
    <w:multiLevelType w:val="multilevel"/>
    <w:tmpl w:val="82AEF3A8"/>
    <w:lvl w:ilvl="0">
      <w:start w:val="1"/>
      <w:numFmt w:val="none"/>
      <w:pStyle w:val="TOC1"/>
      <w:suff w:val="nothing"/>
      <w:lvlText w:val="%1"/>
      <w:lvlJc w:val="left"/>
      <w:pPr>
        <w:ind w:left="-3600" w:firstLine="0"/>
      </w:pPr>
      <w:rPr>
        <w:rFonts w:hint="default"/>
        <w:color w:val="00000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60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60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60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60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60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60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600" w:firstLine="0"/>
      </w:pPr>
      <w:rPr>
        <w:rFonts w:hint="default"/>
      </w:rPr>
    </w:lvl>
  </w:abstractNum>
  <w:abstractNum w:abstractNumId="18" w15:restartNumberingAfterBreak="0">
    <w:nsid w:val="72D1193C"/>
    <w:multiLevelType w:val="multilevel"/>
    <w:tmpl w:val="F27882BA"/>
    <w:styleLink w:val="AOProposalBullets"/>
    <w:lvl w:ilvl="0">
      <w:start w:val="1"/>
      <w:numFmt w:val="bullet"/>
      <w:lvlText w:val=""/>
      <w:lvlJc w:val="left"/>
      <w:pPr>
        <w:tabs>
          <w:tab w:val="num" w:pos="2892"/>
        </w:tabs>
        <w:ind w:left="2892" w:hanging="340"/>
      </w:pPr>
      <w:rPr>
        <w:rFonts w:ascii="Wingdings" w:hAnsi="Wingdings" w:hint="default"/>
        <w:color w:val="B23427"/>
        <w:sz w:val="12"/>
        <w:szCs w:val="12"/>
      </w:rPr>
    </w:lvl>
    <w:lvl w:ilvl="1">
      <w:start w:val="1"/>
      <w:numFmt w:val="bullet"/>
      <w:lvlText w:val=""/>
      <w:lvlJc w:val="left"/>
      <w:pPr>
        <w:tabs>
          <w:tab w:val="num" w:pos="3232"/>
        </w:tabs>
        <w:ind w:left="3232" w:hanging="340"/>
      </w:pPr>
      <w:rPr>
        <w:rFonts w:ascii="Wingdings" w:hAnsi="Wingdings" w:hint="default"/>
        <w:color w:val="B23427"/>
        <w:sz w:val="12"/>
        <w:szCs w:val="12"/>
      </w:rPr>
    </w:lvl>
    <w:lvl w:ilvl="2">
      <w:start w:val="1"/>
      <w:numFmt w:val="bullet"/>
      <w:lvlText w:val=""/>
      <w:lvlJc w:val="left"/>
      <w:pPr>
        <w:tabs>
          <w:tab w:val="num" w:pos="3572"/>
        </w:tabs>
        <w:ind w:left="3572" w:hanging="340"/>
      </w:pPr>
      <w:rPr>
        <w:rFonts w:ascii="Wingdings" w:hAnsi="Wingdings" w:hint="default"/>
        <w:color w:val="B23427"/>
        <w:sz w:val="12"/>
        <w:szCs w:val="12"/>
      </w:rPr>
    </w:lvl>
    <w:lvl w:ilvl="3">
      <w:start w:val="1"/>
      <w:numFmt w:val="bullet"/>
      <w:lvlText w:val=""/>
      <w:lvlJc w:val="left"/>
      <w:pPr>
        <w:tabs>
          <w:tab w:val="num" w:pos="3912"/>
        </w:tabs>
        <w:ind w:left="3912" w:hanging="340"/>
      </w:pPr>
      <w:rPr>
        <w:rFonts w:ascii="Wingdings" w:hAnsi="Wingdings" w:hint="default"/>
        <w:color w:val="B23427"/>
        <w:sz w:val="12"/>
        <w:szCs w:val="12"/>
      </w:rPr>
    </w:lvl>
    <w:lvl w:ilvl="4">
      <w:start w:val="1"/>
      <w:numFmt w:val="bullet"/>
      <w:lvlText w:val=""/>
      <w:lvlJc w:val="left"/>
      <w:pPr>
        <w:tabs>
          <w:tab w:val="num" w:pos="4253"/>
        </w:tabs>
        <w:ind w:left="4253" w:hanging="341"/>
      </w:pPr>
      <w:rPr>
        <w:rFonts w:ascii="Wingdings" w:hAnsi="Wingdings" w:hint="default"/>
        <w:color w:val="B23427"/>
        <w:sz w:val="12"/>
        <w:szCs w:val="12"/>
      </w:rPr>
    </w:lvl>
    <w:lvl w:ilvl="5">
      <w:start w:val="1"/>
      <w:numFmt w:val="none"/>
      <w:lvlText w:val=""/>
      <w:lvlJc w:val="left"/>
      <w:pPr>
        <w:tabs>
          <w:tab w:val="num" w:pos="6134"/>
        </w:tabs>
        <w:ind w:left="6134" w:hanging="360"/>
      </w:pPr>
      <w:rPr>
        <w:rFonts w:hint="default"/>
        <w:color w:val="B23427"/>
      </w:rPr>
    </w:lvl>
    <w:lvl w:ilvl="6">
      <w:start w:val="1"/>
      <w:numFmt w:val="none"/>
      <w:lvlText w:val=""/>
      <w:lvlJc w:val="left"/>
      <w:pPr>
        <w:tabs>
          <w:tab w:val="num" w:pos="6854"/>
        </w:tabs>
        <w:ind w:left="6854" w:hanging="360"/>
      </w:pPr>
      <w:rPr>
        <w:rFonts w:hint="default"/>
        <w:color w:val="B23427"/>
      </w:rPr>
    </w:lvl>
    <w:lvl w:ilvl="7">
      <w:start w:val="1"/>
      <w:numFmt w:val="none"/>
      <w:lvlText w:val=""/>
      <w:lvlJc w:val="left"/>
      <w:pPr>
        <w:tabs>
          <w:tab w:val="num" w:pos="7574"/>
        </w:tabs>
        <w:ind w:left="7574" w:hanging="360"/>
      </w:pPr>
      <w:rPr>
        <w:rFonts w:hint="default"/>
        <w:color w:val="B23427"/>
      </w:rPr>
    </w:lvl>
    <w:lvl w:ilvl="8">
      <w:start w:val="1"/>
      <w:numFmt w:val="none"/>
      <w:lvlText w:val=""/>
      <w:lvlJc w:val="left"/>
      <w:pPr>
        <w:tabs>
          <w:tab w:val="num" w:pos="8294"/>
        </w:tabs>
        <w:ind w:left="8294" w:hanging="360"/>
      </w:pPr>
      <w:rPr>
        <w:rFonts w:hint="default"/>
        <w:color w:val="B23427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0"/>
  </w:num>
  <w:num w:numId="5">
    <w:abstractNumId w:val="16"/>
  </w:num>
  <w:num w:numId="6">
    <w:abstractNumId w:val="12"/>
  </w:num>
  <w:num w:numId="7">
    <w:abstractNumId w:val="15"/>
  </w:num>
  <w:num w:numId="8">
    <w:abstractNumId w:val="17"/>
  </w:num>
  <w:num w:numId="9">
    <w:abstractNumId w:val="1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05"/>
    <w:rsid w:val="00173A05"/>
    <w:rsid w:val="003366AF"/>
    <w:rsid w:val="0049515D"/>
    <w:rsid w:val="0062232D"/>
    <w:rsid w:val="007C3E15"/>
    <w:rsid w:val="007E2BE0"/>
    <w:rsid w:val="00AC0259"/>
    <w:rsid w:val="00DB0799"/>
    <w:rsid w:val="00FC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AD5298"/>
  <w15:docId w15:val="{9C19F305-50C7-4361-B74B-20682AB2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32D"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OEpicNormal">
    <w:name w:val="AOEpicNormal"/>
    <w:rsid w:val="0062232D"/>
    <w:pPr>
      <w:spacing w:before="120" w:after="120" w:line="280" w:lineRule="atLeast"/>
    </w:pPr>
    <w:rPr>
      <w:lang w:eastAsia="en-US"/>
    </w:rPr>
  </w:style>
  <w:style w:type="paragraph" w:customStyle="1" w:styleId="AOEpicBody">
    <w:name w:val="AOEpicBody"/>
    <w:basedOn w:val="AOEpicNormal"/>
    <w:rsid w:val="0062232D"/>
    <w:pPr>
      <w:spacing w:before="0"/>
    </w:pPr>
  </w:style>
  <w:style w:type="paragraph" w:customStyle="1" w:styleId="AOEpicBodySubHeading">
    <w:name w:val="AOEpicBodySubHeading"/>
    <w:basedOn w:val="AOEpicNormal"/>
    <w:next w:val="AOEpicBodySubPar"/>
    <w:rsid w:val="0062232D"/>
    <w:pPr>
      <w:keepNext/>
      <w:numPr>
        <w:ilvl w:val="3"/>
        <w:numId w:val="1"/>
      </w:numPr>
      <w:spacing w:after="0"/>
    </w:pPr>
    <w:rPr>
      <w:color w:val="B23427"/>
    </w:rPr>
  </w:style>
  <w:style w:type="paragraph" w:customStyle="1" w:styleId="AOEpicBodySubPar">
    <w:name w:val="AOEpicBodySubPar"/>
    <w:basedOn w:val="AOEpicNormal"/>
    <w:next w:val="AOEpicBody"/>
    <w:rsid w:val="0062232D"/>
    <w:pPr>
      <w:numPr>
        <w:ilvl w:val="5"/>
        <w:numId w:val="1"/>
      </w:numPr>
      <w:spacing w:before="0"/>
    </w:pPr>
  </w:style>
  <w:style w:type="paragraph" w:customStyle="1" w:styleId="AOEpicBullet">
    <w:name w:val="AOEpicBullet"/>
    <w:basedOn w:val="AOEpicNormal"/>
    <w:rsid w:val="0062232D"/>
    <w:pPr>
      <w:numPr>
        <w:numId w:val="2"/>
      </w:numPr>
      <w:spacing w:before="0" w:after="40"/>
    </w:pPr>
  </w:style>
  <w:style w:type="paragraph" w:customStyle="1" w:styleId="AOEpicCaseStudy">
    <w:name w:val="AOEpicCaseStudy"/>
    <w:basedOn w:val="AOEpicNormal"/>
    <w:next w:val="AOEpicMainHeading"/>
    <w:rsid w:val="0062232D"/>
    <w:pPr>
      <w:numPr>
        <w:ilvl w:val="6"/>
        <w:numId w:val="1"/>
      </w:numPr>
    </w:pPr>
    <w:rPr>
      <w:caps/>
    </w:rPr>
  </w:style>
  <w:style w:type="paragraph" w:customStyle="1" w:styleId="AOEpicClientTitle">
    <w:name w:val="AOEpicClientTitle"/>
    <w:basedOn w:val="AOEpicNormal"/>
    <w:next w:val="AOEpicPitchTitle"/>
    <w:rsid w:val="0062232D"/>
    <w:pPr>
      <w:numPr>
        <w:numId w:val="3"/>
      </w:numPr>
    </w:pPr>
    <w:rPr>
      <w:sz w:val="40"/>
      <w:szCs w:val="40"/>
    </w:rPr>
  </w:style>
  <w:style w:type="paragraph" w:customStyle="1" w:styleId="AOEpicCVName">
    <w:name w:val="AOEpicCVName"/>
    <w:basedOn w:val="AOEpicNormal"/>
    <w:next w:val="AOEpicCVTitle"/>
    <w:rsid w:val="0062232D"/>
    <w:pPr>
      <w:numPr>
        <w:numId w:val="4"/>
      </w:numPr>
      <w:spacing w:before="0" w:after="0"/>
    </w:pPr>
    <w:rPr>
      <w:color w:val="B23427"/>
      <w:sz w:val="16"/>
    </w:rPr>
  </w:style>
  <w:style w:type="paragraph" w:customStyle="1" w:styleId="AOEpicCVTitle">
    <w:name w:val="AOEpicCVTitle"/>
    <w:basedOn w:val="AOEpicNormal"/>
    <w:next w:val="AOEpicBody"/>
    <w:rsid w:val="0062232D"/>
    <w:pPr>
      <w:numPr>
        <w:ilvl w:val="1"/>
        <w:numId w:val="4"/>
      </w:numPr>
      <w:spacing w:before="0" w:after="0" w:line="240" w:lineRule="auto"/>
    </w:pPr>
    <w:rPr>
      <w:color w:val="808080"/>
      <w:sz w:val="16"/>
    </w:rPr>
  </w:style>
  <w:style w:type="paragraph" w:customStyle="1" w:styleId="AOEpicDisclaimer">
    <w:name w:val="AOEpicDisclaimer"/>
    <w:basedOn w:val="AOEpicBody"/>
    <w:rsid w:val="0062232D"/>
    <w:rPr>
      <w:sz w:val="14"/>
      <w:szCs w:val="14"/>
    </w:rPr>
  </w:style>
  <w:style w:type="paragraph" w:customStyle="1" w:styleId="AOEpicFooterFullPage">
    <w:name w:val="AOEpicFooterFullPage"/>
    <w:basedOn w:val="AOEpicStandardFooter"/>
    <w:rsid w:val="0062232D"/>
    <w:pPr>
      <w:ind w:left="0"/>
    </w:pPr>
  </w:style>
  <w:style w:type="paragraph" w:customStyle="1" w:styleId="AOEpicStandardFooter">
    <w:name w:val="AOEpicStandardFooter"/>
    <w:basedOn w:val="AOEpicNormal"/>
    <w:rsid w:val="0062232D"/>
    <w:pPr>
      <w:pBdr>
        <w:top w:val="single" w:sz="4" w:space="4" w:color="auto"/>
      </w:pBdr>
      <w:spacing w:before="0" w:after="0" w:line="240" w:lineRule="auto"/>
      <w:ind w:left="-3538"/>
    </w:pPr>
    <w:rPr>
      <w:noProof/>
      <w:color w:val="808080"/>
      <w:sz w:val="14"/>
    </w:rPr>
  </w:style>
  <w:style w:type="paragraph" w:customStyle="1" w:styleId="AOEpicFooterFrontPage">
    <w:name w:val="AOEpicFooterFrontPage"/>
    <w:basedOn w:val="AOEpicNormal"/>
    <w:rsid w:val="0062232D"/>
    <w:pPr>
      <w:pBdr>
        <w:top w:val="single" w:sz="4" w:space="4" w:color="auto"/>
      </w:pBdr>
      <w:tabs>
        <w:tab w:val="right" w:pos="9475"/>
      </w:tabs>
      <w:spacing w:before="0" w:after="0" w:line="240" w:lineRule="auto"/>
    </w:pPr>
    <w:rPr>
      <w:color w:val="808080"/>
      <w:sz w:val="16"/>
      <w:szCs w:val="14"/>
    </w:rPr>
  </w:style>
  <w:style w:type="paragraph" w:customStyle="1" w:styleId="AOEpicHeaderFullPage">
    <w:name w:val="AOEpicHeaderFullPage"/>
    <w:basedOn w:val="AOEpicNormal"/>
    <w:rsid w:val="0062232D"/>
    <w:pPr>
      <w:pBdr>
        <w:bottom w:val="single" w:sz="4" w:space="4" w:color="auto"/>
      </w:pBdr>
      <w:spacing w:before="0" w:after="0" w:line="240" w:lineRule="auto"/>
    </w:pPr>
    <w:rPr>
      <w:color w:val="808080"/>
      <w:sz w:val="14"/>
    </w:rPr>
  </w:style>
  <w:style w:type="paragraph" w:customStyle="1" w:styleId="AOEpicKeyfacts">
    <w:name w:val="AOEpicKeyfacts"/>
    <w:basedOn w:val="AOEpicNormal"/>
    <w:next w:val="AOEpicKeyfactsList"/>
    <w:rsid w:val="0062232D"/>
    <w:pPr>
      <w:spacing w:before="0" w:after="80" w:line="240" w:lineRule="auto"/>
    </w:pPr>
    <w:rPr>
      <w:rFonts w:ascii="Arial" w:hAnsi="Arial"/>
      <w:caps/>
    </w:rPr>
  </w:style>
  <w:style w:type="paragraph" w:customStyle="1" w:styleId="AOEpicKeyfactsList">
    <w:name w:val="AOEpicKeyfactsList"/>
    <w:basedOn w:val="AOEpicNormal"/>
    <w:rsid w:val="0062232D"/>
    <w:pPr>
      <w:numPr>
        <w:numId w:val="5"/>
      </w:numPr>
      <w:spacing w:before="0" w:after="0" w:line="240" w:lineRule="auto"/>
    </w:pPr>
    <w:rPr>
      <w:rFonts w:ascii="Arial" w:hAnsi="Arial"/>
      <w:color w:val="B23427"/>
      <w:sz w:val="18"/>
    </w:rPr>
  </w:style>
  <w:style w:type="paragraph" w:customStyle="1" w:styleId="AOEpicMainHeading">
    <w:name w:val="AOEpicMainHeading"/>
    <w:basedOn w:val="AOEpicNormal"/>
    <w:next w:val="AOEpicSubHeading"/>
    <w:rsid w:val="0062232D"/>
    <w:pPr>
      <w:pageBreakBefore/>
    </w:pPr>
    <w:rPr>
      <w:color w:val="B23427"/>
      <w:sz w:val="44"/>
    </w:rPr>
  </w:style>
  <w:style w:type="paragraph" w:customStyle="1" w:styleId="AOEpicMainHeadingQuote">
    <w:name w:val="AOEpicMainHeadingQuote"/>
    <w:basedOn w:val="AOEpicNormal"/>
    <w:next w:val="AOEpicBody"/>
    <w:rsid w:val="0062232D"/>
    <w:pPr>
      <w:pageBreakBefore/>
      <w:spacing w:before="0" w:after="360"/>
    </w:pPr>
    <w:rPr>
      <w:rFonts w:ascii="Arial" w:hAnsi="Arial" w:cs="Arial"/>
      <w:b/>
      <w:color w:val="B23427"/>
      <w:sz w:val="36"/>
    </w:rPr>
  </w:style>
  <w:style w:type="paragraph" w:customStyle="1" w:styleId="AOEpicStandardHeader">
    <w:name w:val="AOEpicStandardHeader"/>
    <w:basedOn w:val="AOEpicHeaderFullPage"/>
    <w:rsid w:val="0062232D"/>
    <w:pPr>
      <w:ind w:left="-3538"/>
    </w:pPr>
  </w:style>
  <w:style w:type="paragraph" w:customStyle="1" w:styleId="AOEpicPitchTitle">
    <w:name w:val="AOEpicPitchTitle"/>
    <w:basedOn w:val="AOEpicNormal"/>
    <w:rsid w:val="0062232D"/>
    <w:pPr>
      <w:numPr>
        <w:ilvl w:val="1"/>
        <w:numId w:val="3"/>
      </w:numPr>
    </w:pPr>
    <w:rPr>
      <w:i/>
      <w:sz w:val="80"/>
      <w:szCs w:val="80"/>
    </w:rPr>
  </w:style>
  <w:style w:type="paragraph" w:customStyle="1" w:styleId="AOEpicTBQuoteName">
    <w:name w:val="AOEpicTBQuoteName"/>
    <w:basedOn w:val="AOEpicNormal"/>
    <w:rsid w:val="0062232D"/>
    <w:pPr>
      <w:numPr>
        <w:ilvl w:val="1"/>
        <w:numId w:val="6"/>
      </w:numPr>
    </w:pPr>
    <w:rPr>
      <w:caps/>
    </w:rPr>
  </w:style>
  <w:style w:type="paragraph" w:customStyle="1" w:styleId="AOEPICPULLQUOTENAME">
    <w:name w:val="AOEPICPULLQUOTENAME"/>
    <w:basedOn w:val="AOEpicTBQuoteName"/>
    <w:rsid w:val="0062232D"/>
    <w:pPr>
      <w:numPr>
        <w:ilvl w:val="0"/>
        <w:numId w:val="0"/>
      </w:numPr>
    </w:pPr>
  </w:style>
  <w:style w:type="paragraph" w:customStyle="1" w:styleId="AOEpicTBQuote">
    <w:name w:val="AOEpicTBQuote"/>
    <w:basedOn w:val="AOEpicNormal"/>
    <w:rsid w:val="0062232D"/>
    <w:pPr>
      <w:numPr>
        <w:numId w:val="6"/>
      </w:numPr>
    </w:pPr>
    <w:rPr>
      <w:i/>
      <w:color w:val="B23427"/>
      <w:sz w:val="52"/>
    </w:rPr>
  </w:style>
  <w:style w:type="paragraph" w:customStyle="1" w:styleId="AOEpicPullQuotes">
    <w:name w:val="AOEpicPullQuotes"/>
    <w:basedOn w:val="AOEpicTBQuote"/>
    <w:rsid w:val="0062232D"/>
    <w:pPr>
      <w:numPr>
        <w:numId w:val="0"/>
      </w:numPr>
    </w:pPr>
    <w:rPr>
      <w:color w:val="80A1B6"/>
      <w:sz w:val="32"/>
      <w:szCs w:val="36"/>
    </w:rPr>
  </w:style>
  <w:style w:type="paragraph" w:customStyle="1" w:styleId="AOEpicSubBullet">
    <w:name w:val="AOEpicSubBullet"/>
    <w:basedOn w:val="AOEpicNormal"/>
    <w:next w:val="AOEpicBullet"/>
    <w:rsid w:val="0062232D"/>
    <w:pPr>
      <w:numPr>
        <w:numId w:val="7"/>
      </w:numPr>
      <w:spacing w:before="0" w:after="40"/>
    </w:pPr>
  </w:style>
  <w:style w:type="paragraph" w:customStyle="1" w:styleId="AOEpicSubHeading">
    <w:name w:val="AOEpicSubHeading"/>
    <w:basedOn w:val="AOEpicNormal"/>
    <w:next w:val="AOEpicBody"/>
    <w:rsid w:val="0062232D"/>
    <w:pPr>
      <w:numPr>
        <w:ilvl w:val="4"/>
        <w:numId w:val="1"/>
      </w:numPr>
    </w:pPr>
    <w:rPr>
      <w:i/>
      <w:color w:val="A19589"/>
      <w:sz w:val="36"/>
      <w:szCs w:val="24"/>
    </w:rPr>
  </w:style>
  <w:style w:type="paragraph" w:customStyle="1" w:styleId="AOEpicSubSubHeading">
    <w:name w:val="AOEpicSubSubHeading"/>
    <w:basedOn w:val="AOEpicNormal"/>
    <w:next w:val="AOEpicBody"/>
    <w:rsid w:val="0062232D"/>
    <w:pPr>
      <w:numPr>
        <w:ilvl w:val="2"/>
        <w:numId w:val="1"/>
      </w:numPr>
    </w:pPr>
    <w:rPr>
      <w:sz w:val="28"/>
      <w:szCs w:val="28"/>
    </w:rPr>
  </w:style>
  <w:style w:type="paragraph" w:customStyle="1" w:styleId="AOEpicTOCHeading">
    <w:name w:val="AOEpicTOCHeading"/>
    <w:basedOn w:val="AOEpicMainHeading"/>
    <w:rsid w:val="0062232D"/>
    <w:pPr>
      <w:spacing w:after="600"/>
    </w:pPr>
  </w:style>
  <w:style w:type="paragraph" w:styleId="Header">
    <w:name w:val="header"/>
    <w:basedOn w:val="Normal"/>
    <w:rsid w:val="006223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2232D"/>
    <w:pPr>
      <w:tabs>
        <w:tab w:val="center" w:pos="4153"/>
        <w:tab w:val="right" w:pos="8306"/>
      </w:tabs>
    </w:pPr>
  </w:style>
  <w:style w:type="paragraph" w:customStyle="1" w:styleId="AOEpicCVContactBody">
    <w:name w:val="AOEpicCVContactBody"/>
    <w:basedOn w:val="AOEpicNormal"/>
    <w:rsid w:val="0062232D"/>
    <w:pPr>
      <w:spacing w:before="0" w:after="0" w:line="240" w:lineRule="auto"/>
    </w:pPr>
    <w:rPr>
      <w:sz w:val="16"/>
    </w:rPr>
  </w:style>
  <w:style w:type="paragraph" w:customStyle="1" w:styleId="AOEpicCVContactHeading">
    <w:name w:val="AOEpicCVContactHeading"/>
    <w:basedOn w:val="AOEpicNormal"/>
    <w:rsid w:val="0062232D"/>
    <w:pPr>
      <w:spacing w:after="0" w:line="260" w:lineRule="atLeast"/>
    </w:pPr>
    <w:rPr>
      <w:color w:val="B23427"/>
      <w:sz w:val="16"/>
    </w:rPr>
  </w:style>
  <w:style w:type="paragraph" w:customStyle="1" w:styleId="AOEpicTableHeading">
    <w:name w:val="AOEpicTableHeading"/>
    <w:basedOn w:val="AOEpicNormal"/>
    <w:rsid w:val="0062232D"/>
    <w:pPr>
      <w:spacing w:line="240" w:lineRule="auto"/>
    </w:pPr>
    <w:rPr>
      <w:rFonts w:ascii="Arial" w:hAnsi="Arial"/>
      <w:b/>
      <w:color w:val="B23427"/>
      <w:sz w:val="16"/>
    </w:rPr>
  </w:style>
  <w:style w:type="paragraph" w:customStyle="1" w:styleId="AOEpicTableBody">
    <w:name w:val="AOEpicTableBody"/>
    <w:basedOn w:val="AOEpicNormal"/>
    <w:rsid w:val="0062232D"/>
    <w:pPr>
      <w:numPr>
        <w:ilvl w:val="1"/>
        <w:numId w:val="1"/>
      </w:numPr>
      <w:spacing w:line="240" w:lineRule="auto"/>
    </w:pPr>
    <w:rPr>
      <w:rFonts w:ascii="Arial" w:hAnsi="Arial"/>
      <w:sz w:val="16"/>
    </w:rPr>
  </w:style>
  <w:style w:type="paragraph" w:customStyle="1" w:styleId="AOEpicTombstoneTitle">
    <w:name w:val="AOEpicTombstoneTitle"/>
    <w:basedOn w:val="AOEpicNormal"/>
    <w:next w:val="AOEpicTombstoneDetails"/>
    <w:rsid w:val="0062232D"/>
    <w:rPr>
      <w:i/>
      <w:color w:val="80A1B6"/>
      <w:sz w:val="24"/>
    </w:rPr>
  </w:style>
  <w:style w:type="paragraph" w:customStyle="1" w:styleId="AOEpicTombstoneDetails">
    <w:name w:val="AOEpicTombstoneDetails"/>
    <w:basedOn w:val="AOEpicNormal"/>
    <w:rsid w:val="0062232D"/>
    <w:pPr>
      <w:spacing w:before="0" w:after="0" w:line="240" w:lineRule="auto"/>
    </w:pPr>
    <w:rPr>
      <w:rFonts w:ascii="Arial" w:hAnsi="Arial"/>
      <w:color w:val="B23427"/>
      <w:sz w:val="16"/>
    </w:rPr>
  </w:style>
  <w:style w:type="paragraph" w:customStyle="1" w:styleId="AOEpicTombstoneBody">
    <w:name w:val="AOEpicTombstoneBody"/>
    <w:basedOn w:val="AOEpicNormal"/>
    <w:rsid w:val="0062232D"/>
    <w:pPr>
      <w:spacing w:line="240" w:lineRule="auto"/>
    </w:pPr>
    <w:rPr>
      <w:color w:val="000000"/>
      <w:sz w:val="16"/>
    </w:rPr>
  </w:style>
  <w:style w:type="paragraph" w:styleId="TOC1">
    <w:name w:val="toc 1"/>
    <w:basedOn w:val="AOEpicNormal"/>
    <w:next w:val="AOEpicBody"/>
    <w:rsid w:val="0062232D"/>
    <w:pPr>
      <w:numPr>
        <w:numId w:val="8"/>
      </w:numPr>
      <w:tabs>
        <w:tab w:val="right" w:pos="6379"/>
        <w:tab w:val="right" w:leader="dot" w:pos="9029"/>
      </w:tabs>
      <w:spacing w:after="0"/>
    </w:pPr>
    <w:rPr>
      <w:noProof/>
      <w:color w:val="B23427"/>
    </w:rPr>
  </w:style>
  <w:style w:type="table" w:styleId="TableGrid">
    <w:name w:val="Table Grid"/>
    <w:basedOn w:val="TableNormal"/>
    <w:rsid w:val="0062232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EpicBoxedText">
    <w:name w:val="AOEpicBoxedText"/>
    <w:basedOn w:val="AOEpicBody"/>
    <w:rsid w:val="0062232D"/>
    <w:pPr>
      <w:pBdr>
        <w:top w:val="single" w:sz="4" w:space="1" w:color="80A1B6"/>
        <w:left w:val="single" w:sz="4" w:space="4" w:color="80A1B6"/>
        <w:bottom w:val="single" w:sz="4" w:space="4" w:color="80A1B6"/>
        <w:right w:val="single" w:sz="4" w:space="3" w:color="80A1B6"/>
      </w:pBdr>
    </w:pPr>
  </w:style>
  <w:style w:type="paragraph" w:customStyle="1" w:styleId="AOEpicTableBullet">
    <w:name w:val="AOEpicTableBullet"/>
    <w:basedOn w:val="AOEpicTableBody"/>
    <w:rsid w:val="0062232D"/>
    <w:pPr>
      <w:numPr>
        <w:ilvl w:val="0"/>
      </w:numPr>
    </w:pPr>
    <w:rPr>
      <w:szCs w:val="16"/>
    </w:rPr>
  </w:style>
  <w:style w:type="paragraph" w:styleId="BalloonText">
    <w:name w:val="Balloon Text"/>
    <w:basedOn w:val="Normal"/>
    <w:link w:val="BalloonTextChar"/>
    <w:rsid w:val="006223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232D"/>
    <w:rPr>
      <w:rFonts w:ascii="Tahoma" w:eastAsia="SimSun" w:hAnsi="Tahoma" w:cs="Tahoma"/>
      <w:sz w:val="16"/>
      <w:szCs w:val="16"/>
      <w:lang w:eastAsia="zh-CN"/>
    </w:rPr>
  </w:style>
  <w:style w:type="numbering" w:customStyle="1" w:styleId="AOProposalBullets">
    <w:name w:val="AOProposalBullets"/>
    <w:rsid w:val="0062232D"/>
    <w:pPr>
      <w:numPr>
        <w:numId w:val="9"/>
      </w:numPr>
    </w:pPr>
  </w:style>
  <w:style w:type="table" w:customStyle="1" w:styleId="AOProposalTable">
    <w:name w:val="AOProposalTable"/>
    <w:basedOn w:val="TableNormal"/>
    <w:rsid w:val="0062232D"/>
    <w:rPr>
      <w:rFonts w:ascii="Arial" w:eastAsia="MS Mincho" w:hAnsi="Arial"/>
      <w:b/>
      <w:sz w:val="18"/>
    </w:rPr>
    <w:tblPr>
      <w:tblBorders>
        <w:top w:val="single" w:sz="4" w:space="0" w:color="B23427"/>
        <w:left w:val="single" w:sz="4" w:space="0" w:color="B23427"/>
        <w:bottom w:val="single" w:sz="4" w:space="0" w:color="B23427"/>
        <w:right w:val="single" w:sz="4" w:space="0" w:color="B23427"/>
        <w:insideH w:val="single" w:sz="6" w:space="0" w:color="B23427"/>
        <w:insideV w:val="single" w:sz="6" w:space="0" w:color="B23427"/>
      </w:tblBorders>
      <w:tblCellMar>
        <w:top w:w="85" w:type="dxa"/>
        <w:left w:w="142" w:type="dxa"/>
        <w:bottom w:w="85" w:type="dxa"/>
      </w:tblCellMar>
    </w:tblPr>
    <w:tcPr>
      <w:shd w:val="clear" w:color="auto" w:fill="auto"/>
    </w:tcPr>
    <w:tblStylePr w:type="firstRow">
      <w:pPr>
        <w:wordWrap/>
        <w:spacing w:line="240" w:lineRule="auto"/>
        <w:contextualSpacing/>
      </w:pPr>
      <w:rPr>
        <w:rFonts w:ascii="Arial" w:hAnsi="Arial"/>
        <w:b/>
        <w:color w:val="FFFFFF"/>
        <w:sz w:val="18"/>
        <w:szCs w:val="13"/>
      </w:rPr>
      <w:tblPr/>
      <w:tcPr>
        <w:tcBorders>
          <w:top w:val="single" w:sz="6" w:space="0" w:color="B23427"/>
          <w:left w:val="single" w:sz="6" w:space="0" w:color="B23427"/>
          <w:bottom w:val="nil"/>
          <w:right w:val="single" w:sz="6" w:space="0" w:color="B23427"/>
          <w:insideH w:val="single" w:sz="6" w:space="0" w:color="B23427"/>
          <w:insideV w:val="nil"/>
          <w:tl2br w:val="nil"/>
          <w:tr2bl w:val="nil"/>
        </w:tcBorders>
        <w:shd w:val="clear" w:color="auto" w:fill="B23427"/>
      </w:tcPr>
    </w:tblStylePr>
  </w:style>
  <w:style w:type="character" w:styleId="Hyperlink">
    <w:name w:val="Hyperlink"/>
    <w:basedOn w:val="DefaultParagraphFont"/>
    <w:rsid w:val="0062232D"/>
    <w:rPr>
      <w:color w:val="0000FF"/>
      <w:u w:val="single"/>
    </w:rPr>
  </w:style>
  <w:style w:type="character" w:styleId="PageNumber">
    <w:name w:val="page number"/>
    <w:basedOn w:val="DefaultParagraphFont"/>
    <w:rsid w:val="0062232D"/>
  </w:style>
  <w:style w:type="paragraph" w:styleId="TOC2">
    <w:name w:val="toc 2"/>
    <w:basedOn w:val="AOEpicNormal"/>
    <w:next w:val="AOEpicBody"/>
    <w:autoRedefine/>
    <w:rsid w:val="0062232D"/>
    <w:pPr>
      <w:tabs>
        <w:tab w:val="right" w:pos="6396"/>
      </w:tabs>
      <w:spacing w:before="80" w:after="0"/>
      <w:ind w:left="720" w:right="567"/>
    </w:pPr>
  </w:style>
  <w:style w:type="paragraph" w:styleId="TOC3">
    <w:name w:val="toc 3"/>
    <w:basedOn w:val="TOC2"/>
    <w:next w:val="Normal"/>
    <w:autoRedefine/>
    <w:rsid w:val="0062232D"/>
    <w:pPr>
      <w:tabs>
        <w:tab w:val="clear" w:pos="6396"/>
        <w:tab w:val="left" w:pos="9356"/>
      </w:tabs>
      <w:spacing w:before="0" w:line="260" w:lineRule="exact"/>
      <w:ind w:left="3232" w:right="0"/>
      <w:jc w:val="both"/>
    </w:pPr>
    <w:rPr>
      <w:rFonts w:ascii="Arial" w:eastAsia="MS Mincho" w:hAnsi="Arial"/>
      <w:sz w:val="18"/>
      <w:szCs w:val="18"/>
      <w:lang w:eastAsia="ja-JP"/>
    </w:rPr>
  </w:style>
  <w:style w:type="character" w:styleId="FollowedHyperlink">
    <w:name w:val="FollowedHyperlink"/>
    <w:rsid w:val="00173A05"/>
    <w:rPr>
      <w:color w:val="999999"/>
      <w:u w:val="single"/>
    </w:rPr>
  </w:style>
  <w:style w:type="table" w:customStyle="1" w:styleId="AOEpicNormal1">
    <w:name w:val="AOEpicNormal1"/>
    <w:basedOn w:val="TableNormal"/>
    <w:rsid w:val="00173A05"/>
    <w:pPr>
      <w:spacing w:before="120" w:after="120" w:line="280" w:lineRule="atLeast"/>
    </w:pPr>
    <w:tblPr>
      <w:tblCellMar>
        <w:left w:w="0" w:type="dxa"/>
        <w:right w:w="0" w:type="dxa"/>
      </w:tblCellMar>
    </w:tblPr>
  </w:style>
  <w:style w:type="table" w:customStyle="1" w:styleId="AOEpicBody1">
    <w:name w:val="AOEpicBody1"/>
    <w:basedOn w:val="TableNormal"/>
    <w:rsid w:val="00173A05"/>
    <w:pPr>
      <w:spacing w:after="120" w:line="280" w:lineRule="atLeast"/>
    </w:pPr>
    <w:tblPr>
      <w:tblCellMar>
        <w:left w:w="0" w:type="dxa"/>
        <w:right w:w="0" w:type="dxa"/>
      </w:tblCellMar>
    </w:tblPr>
  </w:style>
  <w:style w:type="table" w:customStyle="1" w:styleId="AOEpicBodySubHeading1">
    <w:name w:val="AOEpicBodySubHeading1"/>
    <w:basedOn w:val="TableNormal"/>
    <w:rsid w:val="00173A05"/>
    <w:pPr>
      <w:spacing w:before="120" w:line="280" w:lineRule="atLeast"/>
    </w:pPr>
    <w:rPr>
      <w:color w:val="B23427"/>
    </w:rPr>
    <w:tblPr>
      <w:tblCellMar>
        <w:left w:w="0" w:type="dxa"/>
        <w:right w:w="0" w:type="dxa"/>
      </w:tblCellMar>
    </w:tblPr>
  </w:style>
  <w:style w:type="table" w:customStyle="1" w:styleId="AOEpicBodySubPar1">
    <w:name w:val="AOEpicBodySubPar1"/>
    <w:basedOn w:val="TableNormal"/>
    <w:rsid w:val="00173A05"/>
    <w:pPr>
      <w:spacing w:after="120" w:line="280" w:lineRule="atLeast"/>
    </w:pPr>
    <w:tblPr>
      <w:tblCellMar>
        <w:left w:w="0" w:type="dxa"/>
        <w:right w:w="0" w:type="dxa"/>
      </w:tblCellMar>
    </w:tblPr>
  </w:style>
  <w:style w:type="table" w:customStyle="1" w:styleId="AOEpicBullet1">
    <w:name w:val="AOEpicBullet1"/>
    <w:basedOn w:val="TableNormal"/>
    <w:rsid w:val="00173A05"/>
    <w:pPr>
      <w:spacing w:after="40" w:line="280" w:lineRule="atLeast"/>
      <w:ind w:hanging="284"/>
    </w:pPr>
    <w:tblPr>
      <w:tblInd w:w="284" w:type="dxa"/>
      <w:tblCellMar>
        <w:left w:w="0" w:type="dxa"/>
        <w:right w:w="0" w:type="dxa"/>
      </w:tblCellMar>
    </w:tblPr>
  </w:style>
  <w:style w:type="table" w:customStyle="1" w:styleId="AOEpicCaseStudy1">
    <w:name w:val="AOEpicCaseStudy1"/>
    <w:basedOn w:val="TableNormal"/>
    <w:rsid w:val="00173A05"/>
    <w:pPr>
      <w:spacing w:before="120" w:after="120" w:line="280" w:lineRule="atLeast"/>
    </w:pPr>
    <w:rPr>
      <w:caps/>
    </w:rPr>
    <w:tblPr>
      <w:tblCellMar>
        <w:left w:w="0" w:type="dxa"/>
        <w:right w:w="0" w:type="dxa"/>
      </w:tblCellMar>
    </w:tblPr>
  </w:style>
  <w:style w:type="table" w:customStyle="1" w:styleId="AOEpicClientTitle1">
    <w:name w:val="AOEpicClientTitle1"/>
    <w:basedOn w:val="TableNormal"/>
    <w:rsid w:val="00173A05"/>
    <w:pPr>
      <w:spacing w:before="120" w:after="120"/>
    </w:pPr>
    <w:rPr>
      <w:sz w:val="40"/>
      <w:szCs w:val="40"/>
    </w:rPr>
    <w:tblPr>
      <w:tblCellMar>
        <w:left w:w="0" w:type="dxa"/>
        <w:right w:w="0" w:type="dxa"/>
      </w:tblCellMar>
    </w:tblPr>
  </w:style>
  <w:style w:type="table" w:customStyle="1" w:styleId="AOEpicCVName1">
    <w:name w:val="AOEpicCVName1"/>
    <w:basedOn w:val="TableNormal"/>
    <w:rsid w:val="00173A05"/>
    <w:pPr>
      <w:spacing w:line="280" w:lineRule="atLeast"/>
    </w:pPr>
    <w:rPr>
      <w:color w:val="B23427"/>
      <w:sz w:val="16"/>
      <w:szCs w:val="16"/>
    </w:rPr>
    <w:tblPr>
      <w:tblCellMar>
        <w:left w:w="0" w:type="dxa"/>
        <w:right w:w="0" w:type="dxa"/>
      </w:tblCellMar>
    </w:tblPr>
  </w:style>
  <w:style w:type="table" w:customStyle="1" w:styleId="AOEpicCVTitle1">
    <w:name w:val="AOEpicCVTitle1"/>
    <w:basedOn w:val="TableNormal"/>
    <w:rsid w:val="00173A05"/>
    <w:rPr>
      <w:color w:val="808080"/>
      <w:sz w:val="16"/>
      <w:szCs w:val="16"/>
    </w:rPr>
    <w:tblPr>
      <w:tblCellMar>
        <w:left w:w="0" w:type="dxa"/>
        <w:right w:w="0" w:type="dxa"/>
      </w:tblCellMar>
    </w:tblPr>
  </w:style>
  <w:style w:type="table" w:customStyle="1" w:styleId="AOEpicDisclaimer1">
    <w:name w:val="AOEpicDisclaimer1"/>
    <w:basedOn w:val="TableNormal"/>
    <w:rsid w:val="00173A05"/>
    <w:pPr>
      <w:spacing w:after="120" w:line="280" w:lineRule="atLeast"/>
    </w:pPr>
    <w:rPr>
      <w:sz w:val="14"/>
      <w:szCs w:val="14"/>
    </w:rPr>
    <w:tblPr>
      <w:tblCellMar>
        <w:left w:w="0" w:type="dxa"/>
        <w:right w:w="0" w:type="dxa"/>
      </w:tblCellMar>
    </w:tblPr>
  </w:style>
  <w:style w:type="table" w:customStyle="1" w:styleId="AOEpicFooterFullPage1">
    <w:name w:val="AOEpicFooterFullPage1"/>
    <w:basedOn w:val="TableNormal"/>
    <w:rsid w:val="00173A05"/>
    <w:rPr>
      <w:color w:val="808080"/>
      <w:sz w:val="14"/>
      <w:szCs w:val="14"/>
    </w:rPr>
    <w:tblPr>
      <w:tblCellMar>
        <w:left w:w="0" w:type="dxa"/>
        <w:right w:w="0" w:type="dxa"/>
      </w:tblCellMar>
    </w:tblPr>
  </w:style>
  <w:style w:type="table" w:customStyle="1" w:styleId="AOEpicStandardFooter1">
    <w:name w:val="AOEpicStandardFooter1"/>
    <w:basedOn w:val="TableNormal"/>
    <w:rsid w:val="00173A05"/>
    <w:rPr>
      <w:color w:val="808080"/>
      <w:sz w:val="14"/>
      <w:szCs w:val="14"/>
    </w:rPr>
    <w:tblPr>
      <w:tblInd w:w="-3538" w:type="dxa"/>
      <w:tblCellMar>
        <w:left w:w="0" w:type="dxa"/>
        <w:right w:w="0" w:type="dxa"/>
      </w:tblCellMar>
    </w:tblPr>
  </w:style>
  <w:style w:type="table" w:customStyle="1" w:styleId="AOEpicFooterFrontPage1">
    <w:name w:val="AOEpicFooterFrontPage1"/>
    <w:basedOn w:val="TableNormal"/>
    <w:rsid w:val="00173A05"/>
    <w:rPr>
      <w:color w:val="808080"/>
      <w:sz w:val="16"/>
      <w:szCs w:val="16"/>
    </w:rPr>
    <w:tblPr>
      <w:tblCellMar>
        <w:left w:w="0" w:type="dxa"/>
        <w:right w:w="0" w:type="dxa"/>
      </w:tblCellMar>
    </w:tblPr>
  </w:style>
  <w:style w:type="table" w:customStyle="1" w:styleId="AOEpicHeaderFullPage1">
    <w:name w:val="AOEpicHeaderFullPage1"/>
    <w:basedOn w:val="TableNormal"/>
    <w:rsid w:val="00173A05"/>
    <w:rPr>
      <w:color w:val="808080"/>
      <w:sz w:val="14"/>
      <w:szCs w:val="14"/>
    </w:rPr>
    <w:tblPr>
      <w:tblCellMar>
        <w:left w:w="0" w:type="dxa"/>
        <w:right w:w="0" w:type="dxa"/>
      </w:tblCellMar>
    </w:tblPr>
  </w:style>
  <w:style w:type="table" w:customStyle="1" w:styleId="AOEpicKeyfacts1">
    <w:name w:val="AOEpicKeyfacts1"/>
    <w:basedOn w:val="TableNormal"/>
    <w:rsid w:val="00173A05"/>
    <w:pPr>
      <w:spacing w:after="80"/>
    </w:pPr>
    <w:rPr>
      <w:rFonts w:ascii="Arial" w:hAnsi="Arial" w:cs="Arial"/>
      <w:caps/>
    </w:rPr>
    <w:tblPr>
      <w:tblCellMar>
        <w:left w:w="0" w:type="dxa"/>
        <w:right w:w="0" w:type="dxa"/>
      </w:tblCellMar>
    </w:tblPr>
  </w:style>
  <w:style w:type="table" w:customStyle="1" w:styleId="AOEpicKeyfactsList1">
    <w:name w:val="AOEpicKeyfactsList1"/>
    <w:basedOn w:val="TableNormal"/>
    <w:rsid w:val="00173A05"/>
    <w:pPr>
      <w:ind w:hanging="227"/>
    </w:pPr>
    <w:rPr>
      <w:rFonts w:ascii="Arial" w:hAnsi="Arial" w:cs="Arial"/>
      <w:color w:val="B23427"/>
      <w:sz w:val="18"/>
      <w:szCs w:val="18"/>
    </w:rPr>
    <w:tblPr>
      <w:tblInd w:w="227" w:type="dxa"/>
      <w:tblCellMar>
        <w:left w:w="0" w:type="dxa"/>
        <w:right w:w="0" w:type="dxa"/>
      </w:tblCellMar>
    </w:tblPr>
  </w:style>
  <w:style w:type="table" w:customStyle="1" w:styleId="AOEpicMainHeading1">
    <w:name w:val="AOEpicMainHeading1"/>
    <w:basedOn w:val="TableNormal"/>
    <w:rsid w:val="00173A05"/>
    <w:pPr>
      <w:spacing w:before="120" w:after="120"/>
    </w:pPr>
    <w:rPr>
      <w:color w:val="B23427"/>
      <w:sz w:val="44"/>
      <w:szCs w:val="44"/>
    </w:rPr>
    <w:tblPr>
      <w:tblCellMar>
        <w:left w:w="0" w:type="dxa"/>
        <w:right w:w="0" w:type="dxa"/>
      </w:tblCellMar>
    </w:tblPr>
  </w:style>
  <w:style w:type="table" w:customStyle="1" w:styleId="AOEpicMainHeadingQuote1">
    <w:name w:val="AOEpicMainHeadingQuote1"/>
    <w:basedOn w:val="TableNormal"/>
    <w:rsid w:val="00173A05"/>
    <w:pPr>
      <w:spacing w:after="360"/>
    </w:pPr>
    <w:rPr>
      <w:rFonts w:ascii="Arial" w:hAnsi="Arial" w:cs="Arial"/>
      <w:b/>
      <w:bCs/>
      <w:color w:val="B23427"/>
      <w:sz w:val="36"/>
      <w:szCs w:val="36"/>
    </w:rPr>
    <w:tblPr>
      <w:tblCellMar>
        <w:left w:w="0" w:type="dxa"/>
        <w:right w:w="0" w:type="dxa"/>
      </w:tblCellMar>
    </w:tblPr>
  </w:style>
  <w:style w:type="table" w:customStyle="1" w:styleId="AOEpicStandardHeader1">
    <w:name w:val="AOEpicStandardHeader1"/>
    <w:basedOn w:val="TableNormal"/>
    <w:rsid w:val="00173A05"/>
    <w:rPr>
      <w:color w:val="808080"/>
      <w:sz w:val="14"/>
      <w:szCs w:val="14"/>
    </w:rPr>
    <w:tblPr>
      <w:tblInd w:w="-3538" w:type="dxa"/>
      <w:tblCellMar>
        <w:left w:w="0" w:type="dxa"/>
        <w:right w:w="0" w:type="dxa"/>
      </w:tblCellMar>
    </w:tblPr>
  </w:style>
  <w:style w:type="table" w:customStyle="1" w:styleId="AOEpicPitchTitle1">
    <w:name w:val="AOEpicPitchTitle1"/>
    <w:basedOn w:val="TableNormal"/>
    <w:rsid w:val="00173A05"/>
    <w:pPr>
      <w:spacing w:before="120" w:after="120"/>
    </w:pPr>
    <w:rPr>
      <w:i/>
      <w:iCs/>
      <w:sz w:val="80"/>
      <w:szCs w:val="80"/>
    </w:rPr>
    <w:tblPr>
      <w:tblCellMar>
        <w:left w:w="0" w:type="dxa"/>
        <w:right w:w="0" w:type="dxa"/>
      </w:tblCellMar>
    </w:tblPr>
  </w:style>
  <w:style w:type="table" w:customStyle="1" w:styleId="AOEpicTBQuoteName1">
    <w:name w:val="AOEpicTBQuoteName1"/>
    <w:basedOn w:val="TableNormal"/>
    <w:rsid w:val="00173A05"/>
    <w:pPr>
      <w:spacing w:before="120" w:after="120" w:line="280" w:lineRule="atLeast"/>
    </w:pPr>
    <w:rPr>
      <w:caps/>
    </w:rPr>
    <w:tblPr>
      <w:tblCellMar>
        <w:left w:w="0" w:type="dxa"/>
        <w:right w:w="0" w:type="dxa"/>
      </w:tblCellMar>
    </w:tblPr>
  </w:style>
  <w:style w:type="table" w:customStyle="1" w:styleId="AOEPICPULLQUOTENAME1">
    <w:name w:val="AOEPICPULLQUOTENAME1"/>
    <w:basedOn w:val="TableNormal"/>
    <w:rsid w:val="00173A05"/>
    <w:pPr>
      <w:spacing w:before="120" w:after="120" w:line="280" w:lineRule="atLeast"/>
    </w:pPr>
    <w:rPr>
      <w:caps/>
    </w:rPr>
    <w:tblPr>
      <w:tblCellMar>
        <w:left w:w="0" w:type="dxa"/>
        <w:right w:w="0" w:type="dxa"/>
      </w:tblCellMar>
    </w:tblPr>
  </w:style>
  <w:style w:type="table" w:customStyle="1" w:styleId="AOEpicTBQuote1">
    <w:name w:val="AOEpicTBQuote1"/>
    <w:basedOn w:val="TableNormal"/>
    <w:rsid w:val="00173A05"/>
    <w:pPr>
      <w:spacing w:before="120" w:after="120"/>
    </w:pPr>
    <w:rPr>
      <w:i/>
      <w:iCs/>
      <w:color w:val="B23427"/>
      <w:sz w:val="52"/>
      <w:szCs w:val="52"/>
    </w:rPr>
    <w:tblPr>
      <w:tblCellMar>
        <w:left w:w="0" w:type="dxa"/>
        <w:right w:w="0" w:type="dxa"/>
      </w:tblCellMar>
    </w:tblPr>
  </w:style>
  <w:style w:type="table" w:customStyle="1" w:styleId="AOEpicPullQuotes1">
    <w:name w:val="AOEpicPullQuotes1"/>
    <w:basedOn w:val="TableNormal"/>
    <w:rsid w:val="00173A05"/>
    <w:pPr>
      <w:spacing w:before="120" w:after="120"/>
    </w:pPr>
    <w:rPr>
      <w:i/>
      <w:iCs/>
      <w:color w:val="80A1B6"/>
      <w:sz w:val="32"/>
      <w:szCs w:val="32"/>
    </w:rPr>
    <w:tblPr>
      <w:tblCellMar>
        <w:left w:w="0" w:type="dxa"/>
        <w:right w:w="0" w:type="dxa"/>
      </w:tblCellMar>
    </w:tblPr>
  </w:style>
  <w:style w:type="table" w:customStyle="1" w:styleId="AOEpicSubBullet1">
    <w:name w:val="AOEpicSubBullet1"/>
    <w:basedOn w:val="TableNormal"/>
    <w:rsid w:val="00173A05"/>
    <w:pPr>
      <w:spacing w:after="40" w:line="280" w:lineRule="atLeast"/>
      <w:ind w:hanging="283"/>
    </w:pPr>
    <w:tblPr>
      <w:tblInd w:w="567" w:type="dxa"/>
      <w:tblCellMar>
        <w:left w:w="0" w:type="dxa"/>
        <w:right w:w="0" w:type="dxa"/>
      </w:tblCellMar>
    </w:tblPr>
  </w:style>
  <w:style w:type="table" w:customStyle="1" w:styleId="AOEpicSubHeading1">
    <w:name w:val="AOEpicSubHeading1"/>
    <w:basedOn w:val="TableNormal"/>
    <w:rsid w:val="00173A05"/>
    <w:pPr>
      <w:spacing w:before="120" w:after="120"/>
    </w:pPr>
    <w:rPr>
      <w:i/>
      <w:iCs/>
      <w:color w:val="A19589"/>
      <w:sz w:val="36"/>
      <w:szCs w:val="36"/>
    </w:rPr>
    <w:tblPr>
      <w:tblCellMar>
        <w:left w:w="0" w:type="dxa"/>
        <w:right w:w="0" w:type="dxa"/>
      </w:tblCellMar>
    </w:tblPr>
  </w:style>
  <w:style w:type="table" w:customStyle="1" w:styleId="AOEpicSubSubHeading1">
    <w:name w:val="AOEpicSubSubHeading1"/>
    <w:basedOn w:val="TableNormal"/>
    <w:rsid w:val="00173A05"/>
    <w:pPr>
      <w:spacing w:before="120" w:after="120" w:line="280" w:lineRule="atLeast"/>
    </w:pPr>
    <w:rPr>
      <w:sz w:val="28"/>
      <w:szCs w:val="28"/>
    </w:rPr>
    <w:tblPr>
      <w:tblCellMar>
        <w:left w:w="0" w:type="dxa"/>
        <w:right w:w="0" w:type="dxa"/>
      </w:tblCellMar>
    </w:tblPr>
  </w:style>
  <w:style w:type="table" w:customStyle="1" w:styleId="AOEpicTOCHeading1">
    <w:name w:val="AOEpicTOCHeading1"/>
    <w:basedOn w:val="TableNormal"/>
    <w:rsid w:val="00173A05"/>
    <w:pPr>
      <w:spacing w:before="120" w:after="600"/>
    </w:pPr>
    <w:rPr>
      <w:color w:val="B23427"/>
      <w:sz w:val="44"/>
      <w:szCs w:val="44"/>
    </w:rPr>
    <w:tblPr>
      <w:tblCellMar>
        <w:left w:w="0" w:type="dxa"/>
        <w:right w:w="0" w:type="dxa"/>
      </w:tblCellMar>
    </w:tblPr>
  </w:style>
  <w:style w:type="table" w:customStyle="1" w:styleId="AOEpicCVContactBody1">
    <w:name w:val="AOEpicCVContactBody1"/>
    <w:basedOn w:val="TableNormal"/>
    <w:rsid w:val="00173A05"/>
    <w:rPr>
      <w:sz w:val="16"/>
      <w:szCs w:val="16"/>
    </w:rPr>
    <w:tblPr>
      <w:tblCellMar>
        <w:left w:w="0" w:type="dxa"/>
        <w:right w:w="0" w:type="dxa"/>
      </w:tblCellMar>
    </w:tblPr>
  </w:style>
  <w:style w:type="table" w:customStyle="1" w:styleId="AOEpicCVContactHeading1">
    <w:name w:val="AOEpicCVContactHeading1"/>
    <w:basedOn w:val="TableNormal"/>
    <w:rsid w:val="00173A05"/>
    <w:pPr>
      <w:spacing w:before="120" w:line="260" w:lineRule="atLeast"/>
    </w:pPr>
    <w:rPr>
      <w:color w:val="B23427"/>
      <w:sz w:val="16"/>
      <w:szCs w:val="16"/>
    </w:rPr>
    <w:tblPr>
      <w:tblCellMar>
        <w:left w:w="0" w:type="dxa"/>
        <w:right w:w="0" w:type="dxa"/>
      </w:tblCellMar>
    </w:tblPr>
  </w:style>
  <w:style w:type="table" w:customStyle="1" w:styleId="AOEpicTableHeading1">
    <w:name w:val="AOEpicTableHeading1"/>
    <w:basedOn w:val="TableNormal"/>
    <w:rsid w:val="00173A05"/>
    <w:pPr>
      <w:spacing w:before="120" w:after="120"/>
    </w:pPr>
    <w:rPr>
      <w:rFonts w:ascii="Arial" w:hAnsi="Arial" w:cs="Arial"/>
      <w:b/>
      <w:bCs/>
      <w:color w:val="B23427"/>
      <w:sz w:val="16"/>
      <w:szCs w:val="16"/>
    </w:rPr>
    <w:tblPr>
      <w:tblCellMar>
        <w:left w:w="0" w:type="dxa"/>
        <w:right w:w="0" w:type="dxa"/>
      </w:tblCellMar>
    </w:tblPr>
  </w:style>
  <w:style w:type="table" w:customStyle="1" w:styleId="AOEpicTableBody1">
    <w:name w:val="AOEpicTableBody1"/>
    <w:basedOn w:val="TableNormal"/>
    <w:rsid w:val="00173A05"/>
    <w:pPr>
      <w:spacing w:before="120" w:after="120"/>
    </w:pPr>
    <w:rPr>
      <w:rFonts w:ascii="Arial" w:hAnsi="Arial" w:cs="Arial"/>
      <w:sz w:val="16"/>
      <w:szCs w:val="16"/>
    </w:rPr>
    <w:tblPr>
      <w:tblCellMar>
        <w:left w:w="0" w:type="dxa"/>
        <w:right w:w="0" w:type="dxa"/>
      </w:tblCellMar>
    </w:tblPr>
  </w:style>
  <w:style w:type="table" w:customStyle="1" w:styleId="AOEpicTombstoneTitle1">
    <w:name w:val="AOEpicTombstoneTitle1"/>
    <w:basedOn w:val="TableNormal"/>
    <w:rsid w:val="00173A05"/>
    <w:pPr>
      <w:spacing w:before="120" w:after="120" w:line="280" w:lineRule="atLeast"/>
    </w:pPr>
    <w:rPr>
      <w:i/>
      <w:iCs/>
      <w:color w:val="80A1B6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AOEpicTombstoneDetails1">
    <w:name w:val="AOEpicTombstoneDetails1"/>
    <w:basedOn w:val="TableNormal"/>
    <w:rsid w:val="00173A05"/>
    <w:rPr>
      <w:rFonts w:ascii="Arial" w:hAnsi="Arial" w:cs="Arial"/>
      <w:color w:val="B23427"/>
      <w:sz w:val="16"/>
      <w:szCs w:val="16"/>
    </w:rPr>
    <w:tblPr>
      <w:tblCellMar>
        <w:left w:w="0" w:type="dxa"/>
        <w:right w:w="0" w:type="dxa"/>
      </w:tblCellMar>
    </w:tblPr>
  </w:style>
  <w:style w:type="table" w:customStyle="1" w:styleId="AOEpicTombstoneBody1">
    <w:name w:val="AOEpicTombstoneBody1"/>
    <w:basedOn w:val="TableNormal"/>
    <w:rsid w:val="00173A05"/>
    <w:pPr>
      <w:spacing w:before="120" w:after="120"/>
    </w:pPr>
    <w:rPr>
      <w:color w:val="000000"/>
      <w:sz w:val="16"/>
      <w:szCs w:val="16"/>
    </w:rPr>
    <w:tblPr>
      <w:tblCellMar>
        <w:left w:w="0" w:type="dxa"/>
        <w:right w:w="0" w:type="dxa"/>
      </w:tblCellMar>
    </w:tblPr>
  </w:style>
  <w:style w:type="table" w:customStyle="1" w:styleId="AOEpicBoxedText1">
    <w:name w:val="AOEpicBoxedText1"/>
    <w:basedOn w:val="TableNormal"/>
    <w:rsid w:val="00173A05"/>
    <w:pPr>
      <w:spacing w:after="120" w:line="280" w:lineRule="atLeast"/>
    </w:pPr>
    <w:tblPr>
      <w:tblCellMar>
        <w:left w:w="0" w:type="dxa"/>
        <w:right w:w="0" w:type="dxa"/>
      </w:tblCellMar>
    </w:tblPr>
  </w:style>
  <w:style w:type="table" w:customStyle="1" w:styleId="AOEpicTableBullet1">
    <w:name w:val="AOEpicTableBullet1"/>
    <w:basedOn w:val="TableNormal"/>
    <w:rsid w:val="00173A05"/>
    <w:pPr>
      <w:spacing w:before="120" w:after="120"/>
      <w:ind w:hanging="284"/>
    </w:pPr>
    <w:rPr>
      <w:rFonts w:ascii="Arial" w:hAnsi="Arial" w:cs="Arial"/>
      <w:sz w:val="16"/>
      <w:szCs w:val="16"/>
    </w:rPr>
    <w:tblPr>
      <w:tblInd w:w="284" w:type="dxa"/>
      <w:tblCellMar>
        <w:left w:w="0" w:type="dxa"/>
        <w:right w:w="0" w:type="dxa"/>
      </w:tblCellMar>
    </w:tblPr>
  </w:style>
  <w:style w:type="paragraph" w:styleId="NormalWeb">
    <w:name w:val="Normal (Web)"/>
    <w:basedOn w:val="Normal"/>
    <w:rsid w:val="00173A05"/>
    <w:pPr>
      <w:spacing w:before="100" w:beforeAutospacing="1" w:after="100" w:afterAutospacing="1"/>
    </w:pPr>
  </w:style>
  <w:style w:type="paragraph" w:customStyle="1" w:styleId="aoepictablebullet0">
    <w:name w:val="aoepictablebullet"/>
    <w:basedOn w:val="AOEpicTableBody"/>
    <w:rsid w:val="00173A05"/>
    <w:pPr>
      <w:numPr>
        <w:ilvl w:val="0"/>
        <w:numId w:val="0"/>
      </w:numPr>
      <w:tabs>
        <w:tab w:val="num" w:pos="284"/>
      </w:tabs>
      <w:ind w:left="284" w:hanging="284"/>
    </w:pPr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aoe\AppData\Local\AllenOvery\OSAX\Templates\AOEpicGlob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AOEpicGlobal.dotm</Template>
  <TotalTime>409</TotalTime>
  <Pages>2</Pages>
  <Words>350</Words>
  <Characters>1978</Characters>
  <Application>Microsoft Office Word</Application>
  <DocSecurity>0</DocSecurity>
  <Lines>49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Damiao, Elizabeth:ICM (LN)</dc:creator>
  <cp:keywords/>
  <dc:description/>
  <cp:lastModifiedBy>Allen &amp; Overy</cp:lastModifiedBy>
  <cp:revision>4</cp:revision>
  <dcterms:created xsi:type="dcterms:W3CDTF">2020-05-29T11:02:00Z</dcterms:created>
  <dcterms:modified xsi:type="dcterms:W3CDTF">2020-07-07T16:43:00Z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e67a54-274b-43d7-8098-b3ba5f50e576_Enabled">
    <vt:lpwstr>True</vt:lpwstr>
  </property>
  <property fmtid="{D5CDD505-2E9C-101B-9397-08002B2CF9AE}" pid="3" name="MSIP_Label_42e67a54-274b-43d7-8098-b3ba5f50e576_SiteId">
    <vt:lpwstr>7f0b44d2-04f8-4672-bf5d-4676796468a3</vt:lpwstr>
  </property>
  <property fmtid="{D5CDD505-2E9C-101B-9397-08002B2CF9AE}" pid="4" name="MSIP_Label_42e67a54-274b-43d7-8098-b3ba5f50e576_Owner">
    <vt:lpwstr>Elizabeth.Damiao@allenovery.com</vt:lpwstr>
  </property>
  <property fmtid="{D5CDD505-2E9C-101B-9397-08002B2CF9AE}" pid="5" name="MSIP_Label_42e67a54-274b-43d7-8098-b3ba5f50e576_SetDate">
    <vt:lpwstr>2020-05-29T11:02:21.0077775Z</vt:lpwstr>
  </property>
  <property fmtid="{D5CDD505-2E9C-101B-9397-08002B2CF9AE}" pid="6" name="MSIP_Label_42e67a54-274b-43d7-8098-b3ba5f50e576_Name">
    <vt:lpwstr>Restricted</vt:lpwstr>
  </property>
  <property fmtid="{D5CDD505-2E9C-101B-9397-08002B2CF9AE}" pid="7" name="MSIP_Label_42e67a54-274b-43d7-8098-b3ba5f50e576_Application">
    <vt:lpwstr>Microsoft Azure Information Protection</vt:lpwstr>
  </property>
  <property fmtid="{D5CDD505-2E9C-101B-9397-08002B2CF9AE}" pid="8" name="MSIP_Label_42e67a54-274b-43d7-8098-b3ba5f50e576_ActionId">
    <vt:lpwstr>a106197b-1992-4b3c-af0c-97eb058ce940</vt:lpwstr>
  </property>
  <property fmtid="{D5CDD505-2E9C-101B-9397-08002B2CF9AE}" pid="9" name="MSIP_Label_42e67a54-274b-43d7-8098-b3ba5f50e576_Extended_MSFT_Method">
    <vt:lpwstr>Automatic</vt:lpwstr>
  </property>
  <property fmtid="{D5CDD505-2E9C-101B-9397-08002B2CF9AE}" pid="10" name="Sensitivity">
    <vt:lpwstr>Restricted</vt:lpwstr>
  </property>
  <property fmtid="{D5CDD505-2E9C-101B-9397-08002B2CF9AE}" pid="11" name="DisplayName">
    <vt:lpwstr>Standalone CV</vt:lpwstr>
  </property>
  <property fmtid="{D5CDD505-2E9C-101B-9397-08002B2CF9AE}" pid="12" name="DMProfile">
    <vt:lpwstr>Document</vt:lpwstr>
  </property>
  <property fmtid="{D5CDD505-2E9C-101B-9397-08002B2CF9AE}" pid="13" name="FilePedigree">
    <vt:lpwstr>OSAX</vt:lpwstr>
  </property>
  <property fmtid="{D5CDD505-2E9C-101B-9397-08002B2CF9AE}" pid="14" name="TemplateFileName">
    <vt:lpwstr>AOEpicGlobal.dotm</vt:lpwstr>
  </property>
  <property fmtid="{D5CDD505-2E9C-101B-9397-08002B2CF9AE}" pid="15" name="OSADocumentType">
    <vt:lpwstr>14</vt:lpwstr>
  </property>
  <property fmtid="{D5CDD505-2E9C-101B-9397-08002B2CF9AE}" pid="16" name="EpicDocument">
    <vt:lpwstr>True</vt:lpwstr>
  </property>
  <property fmtid="{D5CDD505-2E9C-101B-9397-08002B2CF9AE}" pid="17" name="Client">
    <vt:lpwstr/>
  </property>
  <property fmtid="{D5CDD505-2E9C-101B-9397-08002B2CF9AE}" pid="18" name="Matter">
    <vt:lpwstr/>
  </property>
  <property fmtid="{D5CDD505-2E9C-101B-9397-08002B2CF9AE}" pid="19" name="cpClientMatter">
    <vt:lpwstr/>
  </property>
  <property fmtid="{D5CDD505-2E9C-101B-9397-08002B2CF9AE}" pid="20" name="cpDocRef">
    <vt:lpwstr>EJD Updated on EPiC 01.06.20.docx</vt:lpwstr>
  </property>
</Properties>
</file>