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E9" w:rsidRDefault="00A04661">
      <w:r>
        <w:t xml:space="preserve">John Armour </w:t>
      </w:r>
    </w:p>
    <w:p w:rsidR="00C92C23" w:rsidRDefault="00A04661">
      <w:r>
        <w:t>Professor of Law a</w:t>
      </w:r>
      <w:r w:rsidR="00C92C23">
        <w:t>nd Finance, University of Oxford</w:t>
      </w:r>
      <w:bookmarkStart w:id="0" w:name="_GoBack"/>
      <w:bookmarkEnd w:id="0"/>
    </w:p>
    <w:p w:rsidR="00A04661" w:rsidRDefault="00A04661">
      <w:r>
        <w:t xml:space="preserve"> </w:t>
      </w:r>
    </w:p>
    <w:p w:rsidR="00D27334" w:rsidRPr="00222094" w:rsidRDefault="00D27334" w:rsidP="00D27334">
      <w:pPr>
        <w:shd w:val="clear" w:color="auto" w:fill="FFFFFF"/>
        <w:spacing w:after="180" w:line="288" w:lineRule="atLeast"/>
        <w:ind w:right="75"/>
        <w:rPr>
          <w:rFonts w:ascii="Georgia" w:eastAsia="Times New Roman" w:hAnsi="Georgia"/>
          <w:color w:val="000000"/>
          <w:sz w:val="18"/>
          <w:szCs w:val="18"/>
        </w:rPr>
      </w:pPr>
      <w:r>
        <w:rPr>
          <w:rFonts w:ascii="Georgia" w:eastAsia="Times New Roman" w:hAnsi="Georg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B31DBA6" wp14:editId="02C438F7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1339215" cy="1341120"/>
            <wp:effectExtent l="19050" t="0" r="0" b="0"/>
            <wp:wrapTight wrapText="bothSides">
              <wp:wrapPolygon edited="0">
                <wp:start x="-307" y="0"/>
                <wp:lineTo x="-307" y="21170"/>
                <wp:lineTo x="21508" y="21170"/>
                <wp:lineTo x="21508" y="0"/>
                <wp:lineTo x="-307" y="0"/>
              </wp:wrapPolygon>
            </wp:wrapTight>
            <wp:docPr id="1" name="Picture 1" descr="D:\Dropbox\admin\cv\john_armou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admin\cv\john_armour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094">
        <w:rPr>
          <w:rFonts w:ascii="Georgia" w:eastAsia="Times New Roman" w:hAnsi="Georgia"/>
          <w:b/>
          <w:color w:val="000000"/>
          <w:sz w:val="18"/>
          <w:szCs w:val="18"/>
        </w:rPr>
        <w:t>John Armour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 is Professor of Law and Finance at Oxford University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 and a Fellow of the British Academy and the European Corporate Governance Institute.  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He studied at the University of Oxford 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and then at 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>Yale Law School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. 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He has held visiting posts at various institutions including 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the University of Chicago, 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>Columbia Law School, the University of Frankfurt, the Max Planck Institute for Comparative Private Law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 in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 Hamburg, </w:t>
      </w:r>
      <w:r>
        <w:rPr>
          <w:rFonts w:ascii="Georgia" w:eastAsia="Times New Roman" w:hAnsi="Georgia"/>
          <w:color w:val="000000"/>
          <w:sz w:val="18"/>
          <w:szCs w:val="18"/>
        </w:rPr>
        <w:t>and Sydney Law School. He is a member of the American Law Institute and an Academic Member of the Chancery Bar Association. Armour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 has published widely in the fields of company law, financ</w:t>
      </w:r>
      <w:r>
        <w:rPr>
          <w:rFonts w:ascii="Georgia" w:eastAsia="Times New Roman" w:hAnsi="Georgia"/>
          <w:color w:val="000000"/>
          <w:sz w:val="18"/>
          <w:szCs w:val="18"/>
        </w:rPr>
        <w:t>ial regulation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>, and corporate insolvency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, and his books include </w:t>
      </w:r>
      <w:r>
        <w:rPr>
          <w:rFonts w:ascii="Georgia" w:eastAsia="Times New Roman" w:hAnsi="Georgia"/>
          <w:i/>
          <w:color w:val="000000"/>
          <w:sz w:val="18"/>
          <w:szCs w:val="18"/>
        </w:rPr>
        <w:t xml:space="preserve">Principles of Financial Regulation 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(OUP, 2016) and </w:t>
      </w:r>
      <w:r>
        <w:rPr>
          <w:rFonts w:ascii="Georgia" w:eastAsia="Times New Roman" w:hAnsi="Georgia"/>
          <w:i/>
          <w:color w:val="000000"/>
          <w:sz w:val="18"/>
          <w:szCs w:val="18"/>
        </w:rPr>
        <w:t xml:space="preserve">The Anatomy of Corporate Law </w:t>
      </w:r>
      <w:r>
        <w:rPr>
          <w:rFonts w:ascii="Georgia" w:eastAsia="Times New Roman" w:hAnsi="Georgia"/>
          <w:color w:val="000000"/>
          <w:sz w:val="18"/>
          <w:szCs w:val="18"/>
        </w:rPr>
        <w:t>(OUP, 3</w:t>
      </w:r>
      <w:r w:rsidRPr="0052255C">
        <w:rPr>
          <w:rFonts w:ascii="Georgia" w:eastAsia="Times New Roman" w:hAnsi="Georgia"/>
          <w:color w:val="000000"/>
          <w:sz w:val="18"/>
          <w:szCs w:val="18"/>
          <w:vertAlign w:val="superscript"/>
        </w:rPr>
        <w:t>rd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 ed. 2017)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. 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He serves as an Executive Editor of the </w:t>
      </w:r>
      <w:r>
        <w:rPr>
          <w:rFonts w:ascii="Georgia" w:eastAsia="Times New Roman" w:hAnsi="Georgia"/>
          <w:i/>
          <w:color w:val="000000"/>
          <w:sz w:val="18"/>
          <w:szCs w:val="18"/>
        </w:rPr>
        <w:t>Journal of Corporate Law Studies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 and the </w:t>
      </w:r>
      <w:r>
        <w:rPr>
          <w:rFonts w:ascii="Georgia" w:eastAsia="Times New Roman" w:hAnsi="Georgia"/>
          <w:i/>
          <w:color w:val="000000"/>
          <w:sz w:val="18"/>
          <w:szCs w:val="18"/>
        </w:rPr>
        <w:t>Journal of Law, Finance and Accounting</w:t>
      </w:r>
      <w:r>
        <w:rPr>
          <w:rFonts w:ascii="Georgia" w:eastAsia="Times New Roman" w:hAnsi="Georgia"/>
          <w:color w:val="000000"/>
          <w:sz w:val="18"/>
          <w:szCs w:val="18"/>
        </w:rPr>
        <w:t>, and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 has been involved in policy</w:t>
      </w:r>
      <w:r>
        <w:rPr>
          <w:rFonts w:ascii="Georgia" w:eastAsia="Times New Roman" w:hAnsi="Georgia"/>
          <w:color w:val="000000"/>
          <w:sz w:val="18"/>
          <w:szCs w:val="18"/>
        </w:rPr>
        <w:t>-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related projects commissioned by the UK Department of </w:t>
      </w:r>
      <w:r>
        <w:rPr>
          <w:rFonts w:ascii="Georgia" w:eastAsia="Times New Roman" w:hAnsi="Georgia"/>
          <w:color w:val="000000"/>
          <w:sz w:val="18"/>
          <w:szCs w:val="18"/>
        </w:rPr>
        <w:t>Business, Energy and Industrial Strategy, the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 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UK 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Financial </w:t>
      </w:r>
      <w:r>
        <w:rPr>
          <w:rFonts w:ascii="Georgia" w:eastAsia="Times New Roman" w:hAnsi="Georgia"/>
          <w:color w:val="000000"/>
          <w:sz w:val="18"/>
          <w:szCs w:val="18"/>
        </w:rPr>
        <w:t>Conduct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 Authority</w:t>
      </w:r>
      <w:r>
        <w:rPr>
          <w:rFonts w:ascii="Georgia" w:eastAsia="Times New Roman" w:hAnsi="Georgia"/>
          <w:color w:val="000000"/>
          <w:sz w:val="18"/>
          <w:szCs w:val="18"/>
        </w:rPr>
        <w:t>,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 xml:space="preserve"> </w:t>
      </w:r>
      <w:r>
        <w:rPr>
          <w:rFonts w:ascii="Georgia" w:eastAsia="Times New Roman" w:hAnsi="Georgia"/>
          <w:color w:val="000000"/>
          <w:sz w:val="18"/>
          <w:szCs w:val="18"/>
        </w:rPr>
        <w:t>the Commonwealth Secretariat and the World Bank</w:t>
      </w:r>
      <w:r w:rsidRPr="00222094">
        <w:rPr>
          <w:rFonts w:ascii="Georgia" w:eastAsia="Times New Roman" w:hAnsi="Georgia"/>
          <w:color w:val="000000"/>
          <w:sz w:val="18"/>
          <w:szCs w:val="18"/>
        </w:rPr>
        <w:t>.</w:t>
      </w:r>
      <w:r>
        <w:rPr>
          <w:rFonts w:ascii="Georgia" w:eastAsia="Times New Roman" w:hAnsi="Georgia"/>
          <w:color w:val="000000"/>
          <w:sz w:val="18"/>
          <w:szCs w:val="18"/>
        </w:rPr>
        <w:t xml:space="preserve"> He recently served as a member of the European Commission’s Informal Company Law Expert Group, advising on issues including digitalisation in company law and cross-border corporate transactions. His current research agenda focuses on the application of </w:t>
      </w:r>
      <w:hyperlink r:id="rId5" w:history="1">
        <w:r w:rsidRPr="00C23F8B">
          <w:rPr>
            <w:rStyle w:val="Hyperlink"/>
            <w:rFonts w:ascii="Georgia" w:eastAsia="Times New Roman" w:hAnsi="Georgia"/>
            <w:sz w:val="18"/>
            <w:szCs w:val="18"/>
          </w:rPr>
          <w:t>artificial intelligence to law</w:t>
        </w:r>
      </w:hyperlink>
      <w:r>
        <w:rPr>
          <w:rFonts w:ascii="Georgia" w:eastAsia="Times New Roman" w:hAnsi="Georgia"/>
          <w:color w:val="000000"/>
          <w:sz w:val="18"/>
          <w:szCs w:val="18"/>
        </w:rPr>
        <w:t xml:space="preserve">. </w:t>
      </w:r>
    </w:p>
    <w:p w:rsidR="00A04661" w:rsidRDefault="00A04661"/>
    <w:sectPr w:rsidR="00A0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61"/>
    <w:rsid w:val="000266E9"/>
    <w:rsid w:val="00A04661"/>
    <w:rsid w:val="00C92C23"/>
    <w:rsid w:val="00D2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75C8"/>
  <w15:chartTrackingRefBased/>
  <w15:docId w15:val="{627EC8D1-8DE9-4D1B-BE10-51CA42AF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.ox.ac.uk/unlocking-potential-artificial-intelligence-english-la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Faculty - Oxford University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Armour</dc:creator>
  <cp:keywords/>
  <dc:description/>
  <cp:lastModifiedBy>John Armour</cp:lastModifiedBy>
  <cp:revision>1</cp:revision>
  <dcterms:created xsi:type="dcterms:W3CDTF">2019-12-19T11:52:00Z</dcterms:created>
  <dcterms:modified xsi:type="dcterms:W3CDTF">2019-12-19T12:49:00Z</dcterms:modified>
</cp:coreProperties>
</file>