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43" w:rsidRPr="008863A6" w:rsidRDefault="007654B1">
      <w:pPr>
        <w:pStyle w:val="PlainText"/>
        <w:jc w:val="center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 xml:space="preserve">PROFESSOR </w:t>
      </w:r>
      <w:r w:rsidR="00E13643" w:rsidRPr="008863A6">
        <w:rPr>
          <w:rFonts w:asciiTheme="majorHAnsi" w:hAnsiTheme="majorHAnsi"/>
          <w:b/>
          <w:sz w:val="24"/>
          <w:szCs w:val="24"/>
        </w:rPr>
        <w:t>LOUISE GULLIFER</w:t>
      </w:r>
      <w:r w:rsidR="005879C7" w:rsidRPr="008863A6">
        <w:rPr>
          <w:rFonts w:asciiTheme="majorHAnsi" w:hAnsiTheme="majorHAnsi"/>
          <w:b/>
          <w:sz w:val="24"/>
          <w:szCs w:val="24"/>
        </w:rPr>
        <w:t xml:space="preserve">  QC (Hon)</w:t>
      </w:r>
      <w:r w:rsidR="003D2D22">
        <w:rPr>
          <w:rFonts w:asciiTheme="majorHAnsi" w:hAnsiTheme="majorHAnsi"/>
          <w:b/>
          <w:sz w:val="24"/>
          <w:szCs w:val="24"/>
        </w:rPr>
        <w:t xml:space="preserve"> FBA</w:t>
      </w:r>
      <w:bookmarkStart w:id="0" w:name="_GoBack"/>
      <w:bookmarkEnd w:id="0"/>
    </w:p>
    <w:p w:rsidR="00E13643" w:rsidRPr="008863A6" w:rsidRDefault="00E13643">
      <w:pPr>
        <w:pStyle w:val="PlainText"/>
        <w:rPr>
          <w:rFonts w:asciiTheme="majorHAnsi" w:hAnsiTheme="majorHAnsi"/>
          <w:sz w:val="24"/>
          <w:szCs w:val="24"/>
        </w:rPr>
      </w:pPr>
    </w:p>
    <w:p w:rsidR="006E56EE" w:rsidRPr="008863A6" w:rsidRDefault="003A5EBD" w:rsidP="006E56EE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Address: </w:t>
      </w:r>
      <w:r w:rsidRPr="008863A6">
        <w:rPr>
          <w:rFonts w:asciiTheme="majorHAnsi" w:hAnsiTheme="majorHAnsi"/>
          <w:sz w:val="24"/>
          <w:szCs w:val="24"/>
        </w:rPr>
        <w:tab/>
        <w:t>Harris Manchester College,</w:t>
      </w:r>
      <w:r w:rsidR="006E56EE" w:rsidRPr="008863A6">
        <w:rPr>
          <w:rFonts w:asciiTheme="majorHAnsi" w:hAnsiTheme="majorHAnsi"/>
          <w:sz w:val="24"/>
          <w:szCs w:val="24"/>
        </w:rPr>
        <w:tab/>
      </w:r>
      <w:r w:rsidR="006E56EE" w:rsidRPr="008863A6">
        <w:rPr>
          <w:rFonts w:asciiTheme="majorHAnsi" w:hAnsiTheme="majorHAnsi"/>
          <w:sz w:val="24"/>
          <w:szCs w:val="24"/>
        </w:rPr>
        <w:tab/>
        <w:t>E mail:</w:t>
      </w:r>
      <w:r w:rsidR="006E56EE" w:rsidRPr="008863A6">
        <w:rPr>
          <w:rFonts w:asciiTheme="majorHAnsi" w:hAnsiTheme="majorHAnsi"/>
          <w:sz w:val="24"/>
          <w:szCs w:val="24"/>
        </w:rPr>
        <w:tab/>
      </w:r>
      <w:r w:rsidR="006E56EE" w:rsidRPr="008863A6">
        <w:rPr>
          <w:rFonts w:asciiTheme="majorHAnsi" w:hAnsiTheme="majorHAnsi"/>
          <w:sz w:val="24"/>
          <w:szCs w:val="24"/>
        </w:rPr>
        <w:tab/>
      </w:r>
      <w:hyperlink r:id="rId6" w:history="1">
        <w:r w:rsidR="006E56EE" w:rsidRPr="008863A6">
          <w:rPr>
            <w:rStyle w:val="Hyperlink"/>
            <w:rFonts w:asciiTheme="majorHAnsi" w:hAnsiTheme="majorHAnsi"/>
            <w:color w:val="auto"/>
            <w:sz w:val="24"/>
            <w:szCs w:val="24"/>
          </w:rPr>
          <w:t>louise.gullifer@hmc.ox.ac.uk</w:t>
        </w:r>
      </w:hyperlink>
    </w:p>
    <w:p w:rsidR="003A5EBD" w:rsidRPr="008863A6" w:rsidRDefault="003A5EBD" w:rsidP="006E56EE">
      <w:pPr>
        <w:pStyle w:val="PlainText"/>
        <w:ind w:left="720" w:firstLine="72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Oxford</w:t>
      </w:r>
      <w:r w:rsidR="006E56EE" w:rsidRPr="008863A6">
        <w:rPr>
          <w:rFonts w:asciiTheme="majorHAnsi" w:hAnsiTheme="majorHAnsi"/>
          <w:sz w:val="24"/>
          <w:szCs w:val="24"/>
        </w:rPr>
        <w:t xml:space="preserve">    </w:t>
      </w:r>
      <w:r w:rsidRPr="008863A6">
        <w:rPr>
          <w:rFonts w:asciiTheme="majorHAnsi" w:hAnsiTheme="majorHAnsi"/>
          <w:sz w:val="24"/>
          <w:szCs w:val="24"/>
        </w:rPr>
        <w:t>OX1 3TD</w:t>
      </w:r>
    </w:p>
    <w:p w:rsidR="003A5EBD" w:rsidRPr="008863A6" w:rsidRDefault="003A5EBD" w:rsidP="003A5EBD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Telephone: 01865 271014</w:t>
      </w:r>
    </w:p>
    <w:p w:rsidR="00E13643" w:rsidRPr="008863A6" w:rsidRDefault="00E13643">
      <w:pPr>
        <w:pStyle w:val="PlainText"/>
        <w:rPr>
          <w:rFonts w:asciiTheme="majorHAnsi" w:hAnsiTheme="majorHAnsi"/>
          <w:sz w:val="24"/>
          <w:szCs w:val="24"/>
        </w:rPr>
      </w:pPr>
    </w:p>
    <w:p w:rsidR="0043333C" w:rsidRPr="008863A6" w:rsidRDefault="0043333C">
      <w:pPr>
        <w:pStyle w:val="PlainText"/>
        <w:rPr>
          <w:rFonts w:asciiTheme="majorHAnsi" w:hAnsiTheme="majorHAnsi"/>
          <w:sz w:val="24"/>
          <w:szCs w:val="24"/>
        </w:rPr>
      </w:pPr>
    </w:p>
    <w:p w:rsidR="00E13643" w:rsidRDefault="00CC2686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Academic appointments</w:t>
      </w:r>
    </w:p>
    <w:p w:rsidR="004573E3" w:rsidRDefault="004573E3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4573E3" w:rsidRPr="004573E3" w:rsidRDefault="004573E3">
      <w:pPr>
        <w:pStyle w:val="Plai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From 1</w:t>
      </w:r>
      <w:r w:rsidRPr="004573E3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October 2019: Rouse Ball Professor of English law, University of Cambridge</w:t>
      </w:r>
    </w:p>
    <w:p w:rsidR="00E13643" w:rsidRPr="008863A6" w:rsidRDefault="00E13643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5B2446" w:rsidP="005B2446">
      <w:pPr>
        <w:pStyle w:val="PlainText"/>
        <w:ind w:left="1418" w:hanging="1418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2000-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b/>
          <w:sz w:val="24"/>
          <w:szCs w:val="24"/>
        </w:rPr>
        <w:tab/>
      </w:r>
      <w:r w:rsidR="00404785" w:rsidRPr="008863A6">
        <w:rPr>
          <w:rFonts w:asciiTheme="majorHAnsi" w:hAnsiTheme="majorHAnsi"/>
          <w:b/>
          <w:sz w:val="24"/>
          <w:szCs w:val="24"/>
        </w:rPr>
        <w:t>Current position:</w:t>
      </w:r>
      <w:r w:rsidR="00404785" w:rsidRPr="008863A6">
        <w:rPr>
          <w:rFonts w:asciiTheme="majorHAnsi" w:hAnsiTheme="majorHAnsi"/>
          <w:sz w:val="24"/>
          <w:szCs w:val="24"/>
        </w:rPr>
        <w:t xml:space="preserve"> </w:t>
      </w:r>
      <w:r w:rsidR="007C54C4" w:rsidRPr="008863A6">
        <w:rPr>
          <w:rFonts w:asciiTheme="majorHAnsi" w:hAnsiTheme="majorHAnsi"/>
          <w:b/>
          <w:sz w:val="24"/>
          <w:szCs w:val="24"/>
        </w:rPr>
        <w:t xml:space="preserve">Professor of Commercial Law, University of Oxford, </w:t>
      </w:r>
      <w:r w:rsidRPr="008863A6">
        <w:rPr>
          <w:rFonts w:asciiTheme="majorHAnsi" w:hAnsiTheme="majorHAnsi"/>
          <w:b/>
          <w:sz w:val="24"/>
          <w:szCs w:val="24"/>
        </w:rPr>
        <w:t>Fellow and Tutor in Law, Harris Manchester College, Oxford</w:t>
      </w:r>
      <w:r w:rsidR="007C54C4" w:rsidRPr="008863A6">
        <w:rPr>
          <w:rFonts w:asciiTheme="majorHAnsi" w:hAnsiTheme="majorHAnsi"/>
          <w:b/>
          <w:sz w:val="24"/>
          <w:szCs w:val="24"/>
        </w:rPr>
        <w:t xml:space="preserve"> </w:t>
      </w:r>
    </w:p>
    <w:p w:rsidR="007C54C4" w:rsidRPr="008863A6" w:rsidRDefault="007C54C4" w:rsidP="00CB25C9">
      <w:pPr>
        <w:pStyle w:val="PlainText"/>
        <w:ind w:left="1418"/>
        <w:rPr>
          <w:rFonts w:asciiTheme="majorHAnsi" w:hAnsiTheme="majorHAnsi"/>
          <w:b/>
          <w:sz w:val="24"/>
          <w:szCs w:val="24"/>
        </w:rPr>
      </w:pPr>
    </w:p>
    <w:p w:rsidR="005B2446" w:rsidRPr="008863A6" w:rsidRDefault="00CB25C9" w:rsidP="00CB25C9">
      <w:pPr>
        <w:pStyle w:val="PlainText"/>
        <w:ind w:left="1418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Director, Commercial Law Centre, Harris Manchester College</w:t>
      </w:r>
      <w:r w:rsidR="00697A64" w:rsidRPr="008863A6">
        <w:rPr>
          <w:rFonts w:asciiTheme="majorHAnsi" w:hAnsiTheme="majorHAnsi"/>
          <w:b/>
          <w:sz w:val="24"/>
          <w:szCs w:val="24"/>
        </w:rPr>
        <w:t xml:space="preserve"> (</w:t>
      </w:r>
      <w:hyperlink r:id="rId7" w:history="1">
        <w:r w:rsidR="00697A64" w:rsidRPr="008863A6">
          <w:rPr>
            <w:rStyle w:val="Hyperlink"/>
            <w:rFonts w:asciiTheme="majorHAnsi" w:hAnsiTheme="majorHAnsi"/>
            <w:b/>
            <w:color w:val="auto"/>
            <w:sz w:val="24"/>
            <w:szCs w:val="24"/>
          </w:rPr>
          <w:t>https://www.law.ox.ac.uk/research-subject-groups/commercial-law-centre</w:t>
        </w:r>
      </w:hyperlink>
      <w:r w:rsidR="00697A64" w:rsidRPr="008863A6">
        <w:rPr>
          <w:rFonts w:asciiTheme="majorHAnsi" w:hAnsiTheme="majorHAnsi"/>
          <w:b/>
          <w:sz w:val="24"/>
          <w:szCs w:val="24"/>
        </w:rPr>
        <w:t xml:space="preserve">) </w:t>
      </w:r>
    </w:p>
    <w:p w:rsidR="00404785" w:rsidRPr="008863A6" w:rsidRDefault="00404785" w:rsidP="005B2446">
      <w:pPr>
        <w:pStyle w:val="PlainText"/>
        <w:ind w:left="698" w:firstLine="720"/>
        <w:rPr>
          <w:rFonts w:asciiTheme="majorHAnsi" w:hAnsiTheme="majorHAnsi"/>
          <w:sz w:val="24"/>
          <w:szCs w:val="24"/>
        </w:rPr>
      </w:pPr>
    </w:p>
    <w:p w:rsidR="005B2446" w:rsidRPr="008863A6" w:rsidRDefault="005B2446" w:rsidP="005B2446">
      <w:pPr>
        <w:pStyle w:val="PlainText"/>
        <w:ind w:left="144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Undergraduate </w:t>
      </w:r>
      <w:proofErr w:type="gramStart"/>
      <w:r w:rsidRPr="008863A6">
        <w:rPr>
          <w:rFonts w:asciiTheme="majorHAnsi" w:hAnsiTheme="majorHAnsi"/>
          <w:sz w:val="24"/>
          <w:szCs w:val="24"/>
        </w:rPr>
        <w:t>Teaching :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Roman law, Contract Law, Tort law</w:t>
      </w:r>
      <w:r w:rsidR="00DC5637" w:rsidRPr="008863A6">
        <w:rPr>
          <w:rFonts w:asciiTheme="majorHAnsi" w:hAnsiTheme="majorHAnsi"/>
          <w:sz w:val="24"/>
          <w:szCs w:val="24"/>
        </w:rPr>
        <w:t xml:space="preserve"> (2000-2005)</w:t>
      </w:r>
      <w:r w:rsidRPr="008863A6">
        <w:rPr>
          <w:rFonts w:asciiTheme="majorHAnsi" w:hAnsiTheme="majorHAnsi"/>
          <w:sz w:val="24"/>
          <w:szCs w:val="24"/>
        </w:rPr>
        <w:t>, Commercial Law (</w:t>
      </w:r>
      <w:proofErr w:type="spellStart"/>
      <w:r w:rsidRPr="008863A6">
        <w:rPr>
          <w:rFonts w:asciiTheme="majorHAnsi" w:hAnsiTheme="majorHAnsi"/>
          <w:sz w:val="24"/>
          <w:szCs w:val="24"/>
        </w:rPr>
        <w:t>convenor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).   </w:t>
      </w:r>
    </w:p>
    <w:p w:rsidR="005B2446" w:rsidRPr="008863A6" w:rsidRDefault="005B2446" w:rsidP="005B2446">
      <w:pPr>
        <w:pStyle w:val="PlainText"/>
        <w:ind w:left="144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Graduate teaching:  Corporate Finance Law, </w:t>
      </w:r>
      <w:r w:rsidR="00CB25C9" w:rsidRPr="008863A6">
        <w:rPr>
          <w:rFonts w:asciiTheme="majorHAnsi" w:hAnsiTheme="majorHAnsi"/>
          <w:sz w:val="24"/>
          <w:szCs w:val="24"/>
        </w:rPr>
        <w:t>Legal Concepts in Financial Law</w:t>
      </w:r>
      <w:r w:rsidR="006E56EE" w:rsidRPr="008863A6">
        <w:rPr>
          <w:rFonts w:asciiTheme="majorHAnsi" w:hAnsiTheme="majorHAnsi"/>
          <w:sz w:val="24"/>
          <w:szCs w:val="24"/>
        </w:rPr>
        <w:t xml:space="preserve"> (new course set up in 2014 of which I am </w:t>
      </w:r>
      <w:proofErr w:type="spellStart"/>
      <w:r w:rsidR="006E56EE" w:rsidRPr="008863A6">
        <w:rPr>
          <w:rFonts w:asciiTheme="majorHAnsi" w:hAnsiTheme="majorHAnsi"/>
          <w:sz w:val="24"/>
          <w:szCs w:val="24"/>
        </w:rPr>
        <w:t>convenor</w:t>
      </w:r>
      <w:proofErr w:type="spellEnd"/>
      <w:r w:rsidR="006E56EE" w:rsidRPr="008863A6">
        <w:rPr>
          <w:rFonts w:asciiTheme="majorHAnsi" w:hAnsiTheme="majorHAnsi"/>
          <w:sz w:val="24"/>
          <w:szCs w:val="24"/>
        </w:rPr>
        <w:t>)</w:t>
      </w:r>
      <w:r w:rsidR="00CB25C9" w:rsidRPr="008863A6">
        <w:rPr>
          <w:rFonts w:asciiTheme="majorHAnsi" w:hAnsiTheme="majorHAnsi"/>
          <w:sz w:val="24"/>
          <w:szCs w:val="24"/>
        </w:rPr>
        <w:t xml:space="preserve">, </w:t>
      </w:r>
      <w:r w:rsidRPr="008863A6">
        <w:rPr>
          <w:rFonts w:asciiTheme="majorHAnsi" w:hAnsiTheme="majorHAnsi"/>
          <w:sz w:val="24"/>
          <w:szCs w:val="24"/>
        </w:rPr>
        <w:t>Corporate Insolvency (</w:t>
      </w:r>
      <w:proofErr w:type="spellStart"/>
      <w:r w:rsidRPr="008863A6">
        <w:rPr>
          <w:rFonts w:asciiTheme="majorHAnsi" w:hAnsiTheme="majorHAnsi"/>
          <w:sz w:val="24"/>
          <w:szCs w:val="24"/>
        </w:rPr>
        <w:t>convenor</w:t>
      </w:r>
      <w:proofErr w:type="spellEnd"/>
      <w:r w:rsidR="00DC5637" w:rsidRPr="008863A6">
        <w:rPr>
          <w:rFonts w:asciiTheme="majorHAnsi" w:hAnsiTheme="majorHAnsi"/>
          <w:sz w:val="24"/>
          <w:szCs w:val="24"/>
        </w:rPr>
        <w:t xml:space="preserve"> 2010-2013</w:t>
      </w:r>
      <w:r w:rsidR="003028EE" w:rsidRPr="008863A6">
        <w:rPr>
          <w:rFonts w:asciiTheme="majorHAnsi" w:hAnsiTheme="majorHAnsi"/>
          <w:sz w:val="24"/>
          <w:szCs w:val="24"/>
        </w:rPr>
        <w:t>, I do</w:t>
      </w:r>
      <w:r w:rsidR="003B5BA9" w:rsidRPr="008863A6">
        <w:rPr>
          <w:rFonts w:asciiTheme="majorHAnsi" w:hAnsiTheme="majorHAnsi"/>
          <w:sz w:val="24"/>
          <w:szCs w:val="24"/>
        </w:rPr>
        <w:t xml:space="preserve"> </w:t>
      </w:r>
      <w:r w:rsidR="003028EE" w:rsidRPr="008863A6">
        <w:rPr>
          <w:rFonts w:asciiTheme="majorHAnsi" w:hAnsiTheme="majorHAnsi"/>
          <w:sz w:val="24"/>
          <w:szCs w:val="24"/>
        </w:rPr>
        <w:t>n</w:t>
      </w:r>
      <w:r w:rsidR="003B5BA9" w:rsidRPr="008863A6">
        <w:rPr>
          <w:rFonts w:asciiTheme="majorHAnsi" w:hAnsiTheme="majorHAnsi"/>
          <w:sz w:val="24"/>
          <w:szCs w:val="24"/>
        </w:rPr>
        <w:t>o</w:t>
      </w:r>
      <w:r w:rsidR="003028EE" w:rsidRPr="008863A6">
        <w:rPr>
          <w:rFonts w:asciiTheme="majorHAnsi" w:hAnsiTheme="majorHAnsi"/>
          <w:sz w:val="24"/>
          <w:szCs w:val="24"/>
        </w:rPr>
        <w:t>t teach this at the moment</w:t>
      </w:r>
      <w:r w:rsidRPr="008863A6">
        <w:rPr>
          <w:rFonts w:asciiTheme="majorHAnsi" w:hAnsiTheme="majorHAnsi"/>
          <w:sz w:val="24"/>
          <w:szCs w:val="24"/>
        </w:rPr>
        <w:t>)</w:t>
      </w:r>
    </w:p>
    <w:p w:rsidR="00893165" w:rsidRPr="008863A6" w:rsidRDefault="00893165">
      <w:pPr>
        <w:pStyle w:val="PlainText"/>
        <w:rPr>
          <w:rFonts w:asciiTheme="majorHAnsi" w:hAnsiTheme="majorHAnsi"/>
          <w:sz w:val="24"/>
          <w:szCs w:val="24"/>
        </w:rPr>
      </w:pPr>
    </w:p>
    <w:p w:rsidR="00893165" w:rsidRPr="008863A6" w:rsidRDefault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1999-2000:</w:t>
      </w:r>
      <w:r w:rsidRPr="008863A6">
        <w:rPr>
          <w:rFonts w:asciiTheme="majorHAnsi" w:hAnsiTheme="majorHAnsi"/>
          <w:sz w:val="24"/>
          <w:szCs w:val="24"/>
        </w:rPr>
        <w:tab/>
        <w:t>Tutor in Law, Harris Manchester College, Oxford (Senior Research Fellow)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1998-9:</w:t>
      </w:r>
      <w:r w:rsidRPr="008863A6">
        <w:rPr>
          <w:rFonts w:asciiTheme="majorHAnsi" w:hAnsiTheme="majorHAnsi"/>
          <w:sz w:val="24"/>
          <w:szCs w:val="24"/>
        </w:rPr>
        <w:tab/>
        <w:t>Lecturer, St. Anne's College, Oxford (part time)</w:t>
      </w:r>
    </w:p>
    <w:p w:rsidR="005B2446" w:rsidRPr="008863A6" w:rsidRDefault="005B2446" w:rsidP="005B2446">
      <w:pPr>
        <w:pStyle w:val="PlainText"/>
        <w:ind w:left="1418" w:hanging="1418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1997: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Faculty Fellow in Commercial Law (part time) College Lecturer, Hertford College, Oxford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1994-1997: </w:t>
      </w:r>
      <w:r w:rsidRPr="008863A6">
        <w:rPr>
          <w:rFonts w:asciiTheme="majorHAnsi" w:hAnsiTheme="majorHAnsi"/>
          <w:sz w:val="24"/>
          <w:szCs w:val="24"/>
        </w:rPr>
        <w:tab/>
        <w:t>Tutorial Fellow, Brasenose College, Oxford (half time)</w:t>
      </w:r>
      <w:r w:rsidRPr="008863A6">
        <w:rPr>
          <w:rFonts w:asciiTheme="majorHAnsi" w:hAnsiTheme="majorHAnsi"/>
          <w:sz w:val="24"/>
          <w:szCs w:val="24"/>
        </w:rPr>
        <w:tab/>
      </w:r>
    </w:p>
    <w:p w:rsidR="00E13643" w:rsidRPr="008863A6" w:rsidRDefault="00E13643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1991-1994: </w:t>
      </w:r>
      <w:r w:rsidRPr="008863A6">
        <w:rPr>
          <w:rFonts w:asciiTheme="majorHAnsi" w:hAnsiTheme="majorHAnsi"/>
          <w:sz w:val="24"/>
          <w:szCs w:val="24"/>
        </w:rPr>
        <w:tab/>
        <w:t>College Lecturer, Hertford College, Oxford (part time)</w:t>
      </w:r>
    </w:p>
    <w:p w:rsidR="00C61140" w:rsidRPr="008863A6" w:rsidRDefault="00C61140" w:rsidP="00896487">
      <w:pPr>
        <w:pStyle w:val="PlainText"/>
        <w:rPr>
          <w:rFonts w:asciiTheme="majorHAnsi" w:hAnsiTheme="majorHAnsi"/>
          <w:sz w:val="24"/>
          <w:szCs w:val="24"/>
        </w:rPr>
      </w:pPr>
    </w:p>
    <w:p w:rsidR="003A5EBD" w:rsidRPr="008863A6" w:rsidRDefault="00B74F33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 xml:space="preserve">Research </w:t>
      </w:r>
      <w:r w:rsidR="003028EE" w:rsidRPr="008863A6">
        <w:rPr>
          <w:rFonts w:asciiTheme="majorHAnsi" w:hAnsiTheme="majorHAnsi"/>
          <w:b/>
          <w:sz w:val="24"/>
          <w:szCs w:val="24"/>
        </w:rPr>
        <w:t xml:space="preserve">and other external </w:t>
      </w:r>
      <w:r w:rsidRPr="008863A6">
        <w:rPr>
          <w:rFonts w:asciiTheme="majorHAnsi" w:hAnsiTheme="majorHAnsi"/>
          <w:b/>
          <w:sz w:val="24"/>
          <w:szCs w:val="24"/>
        </w:rPr>
        <w:t>appointments</w:t>
      </w:r>
    </w:p>
    <w:p w:rsidR="00B74F33" w:rsidRPr="008863A6" w:rsidRDefault="00B74F33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1F4527" w:rsidRPr="008863A6" w:rsidRDefault="001F4527" w:rsidP="001F452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External member of Humanities and Social Sciences Senior Academic Promotions Sub-committee, University of Cambridge</w:t>
      </w:r>
    </w:p>
    <w:p w:rsidR="001F4527" w:rsidRPr="008863A6" w:rsidRDefault="001F4527" w:rsidP="00335B21">
      <w:pPr>
        <w:rPr>
          <w:rFonts w:asciiTheme="majorHAnsi" w:hAnsiTheme="majorHAnsi"/>
          <w:sz w:val="24"/>
          <w:szCs w:val="24"/>
        </w:rPr>
      </w:pPr>
    </w:p>
    <w:p w:rsidR="00FB7C1F" w:rsidRPr="008863A6" w:rsidRDefault="00FB7C1F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June 2017 – Sep 2017: Chair of Excellen</w:t>
      </w:r>
      <w:r w:rsidR="003028EE" w:rsidRPr="008863A6">
        <w:rPr>
          <w:rFonts w:asciiTheme="majorHAnsi" w:hAnsiTheme="majorHAnsi"/>
          <w:sz w:val="24"/>
          <w:szCs w:val="24"/>
        </w:rPr>
        <w:t>ce</w:t>
      </w:r>
      <w:r w:rsidRPr="008863A6">
        <w:rPr>
          <w:rFonts w:asciiTheme="majorHAnsi" w:hAnsiTheme="majorHAnsi"/>
          <w:sz w:val="24"/>
          <w:szCs w:val="24"/>
        </w:rPr>
        <w:t xml:space="preserve">, </w:t>
      </w:r>
      <w:r w:rsidR="00BB124D" w:rsidRPr="008863A6">
        <w:rPr>
          <w:rFonts w:asciiTheme="majorHAnsi" w:hAnsiTheme="majorHAnsi"/>
          <w:sz w:val="24"/>
          <w:szCs w:val="24"/>
        </w:rPr>
        <w:t xml:space="preserve">Universidad </w:t>
      </w:r>
      <w:r w:rsidRPr="008863A6">
        <w:rPr>
          <w:rFonts w:asciiTheme="majorHAnsi" w:hAnsiTheme="majorHAnsi"/>
          <w:sz w:val="24"/>
          <w:szCs w:val="24"/>
        </w:rPr>
        <w:t>Carlos III, Madrid</w:t>
      </w:r>
    </w:p>
    <w:p w:rsidR="00FB7C1F" w:rsidRPr="008863A6" w:rsidRDefault="00FB7C1F" w:rsidP="00335B21">
      <w:pPr>
        <w:rPr>
          <w:rFonts w:asciiTheme="majorHAnsi" w:hAnsiTheme="majorHAnsi"/>
          <w:sz w:val="24"/>
          <w:szCs w:val="24"/>
        </w:rPr>
      </w:pPr>
    </w:p>
    <w:p w:rsidR="00FB7C1F" w:rsidRPr="008863A6" w:rsidRDefault="00FB7C1F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2017- </w:t>
      </w:r>
      <w:r w:rsidR="001F4527" w:rsidRPr="008863A6">
        <w:rPr>
          <w:rFonts w:asciiTheme="majorHAnsi" w:hAnsiTheme="majorHAnsi"/>
          <w:sz w:val="24"/>
          <w:szCs w:val="24"/>
        </w:rPr>
        <w:tab/>
      </w:r>
      <w:r w:rsidR="001F4527"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>UK delegate to Committee of Governmental Experts, UNIDROIT, on MAC protocol to Cape Town Convention</w:t>
      </w:r>
    </w:p>
    <w:p w:rsidR="00FB7C1F" w:rsidRPr="008863A6" w:rsidRDefault="00FB7C1F" w:rsidP="00335B21">
      <w:pPr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335B21">
      <w:pPr>
        <w:rPr>
          <w:rFonts w:asciiTheme="majorHAnsi" w:hAnsiTheme="majorHAnsi" w:cs="Calibri"/>
          <w:sz w:val="24"/>
          <w:szCs w:val="24"/>
          <w:lang w:val="en-GB"/>
        </w:rPr>
      </w:pPr>
      <w:r w:rsidRPr="008863A6">
        <w:rPr>
          <w:rFonts w:asciiTheme="majorHAnsi" w:hAnsiTheme="majorHAnsi"/>
          <w:sz w:val="24"/>
          <w:szCs w:val="24"/>
        </w:rPr>
        <w:t>Jan 2017 -</w:t>
      </w:r>
      <w:r w:rsidR="003B5BA9" w:rsidRPr="008863A6">
        <w:rPr>
          <w:rFonts w:asciiTheme="majorHAnsi" w:hAnsiTheme="majorHAnsi"/>
          <w:sz w:val="24"/>
          <w:szCs w:val="24"/>
        </w:rPr>
        <w:t xml:space="preserve"> 20</w:t>
      </w:r>
      <w:r w:rsidR="00235784">
        <w:rPr>
          <w:rFonts w:asciiTheme="majorHAnsi" w:hAnsiTheme="majorHAnsi"/>
          <w:sz w:val="24"/>
          <w:szCs w:val="24"/>
        </w:rPr>
        <w:t>20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 w:cs="Calibri"/>
          <w:sz w:val="24"/>
          <w:szCs w:val="24"/>
          <w:lang w:val="en-GB"/>
        </w:rPr>
        <w:t xml:space="preserve">Professor of International Commercial Law, </w:t>
      </w:r>
      <w:proofErr w:type="spellStart"/>
      <w:r w:rsidRPr="008863A6">
        <w:rPr>
          <w:rFonts w:asciiTheme="majorHAnsi" w:hAnsiTheme="majorHAnsi" w:cs="Calibri"/>
          <w:sz w:val="24"/>
          <w:szCs w:val="24"/>
          <w:lang w:val="en-GB"/>
        </w:rPr>
        <w:t>Radboud</w:t>
      </w:r>
      <w:proofErr w:type="spellEnd"/>
      <w:r w:rsidRPr="008863A6">
        <w:rPr>
          <w:rFonts w:asciiTheme="majorHAnsi" w:hAnsiTheme="majorHAnsi" w:cs="Calibri"/>
          <w:sz w:val="24"/>
          <w:szCs w:val="24"/>
          <w:lang w:val="en-GB"/>
        </w:rPr>
        <w:t xml:space="preserve"> University, Nijmegen (one of the temporary chairs of the </w:t>
      </w:r>
      <w:proofErr w:type="spellStart"/>
      <w:r w:rsidRPr="008863A6">
        <w:rPr>
          <w:rFonts w:asciiTheme="majorHAnsi" w:hAnsiTheme="majorHAnsi" w:cs="Calibri"/>
          <w:sz w:val="24"/>
          <w:szCs w:val="24"/>
          <w:lang w:val="en-GB"/>
        </w:rPr>
        <w:t>Radboud</w:t>
      </w:r>
      <w:proofErr w:type="spellEnd"/>
      <w:r w:rsidRPr="008863A6">
        <w:rPr>
          <w:rFonts w:asciiTheme="majorHAnsi" w:hAnsiTheme="majorHAnsi" w:cs="Calibri"/>
          <w:sz w:val="24"/>
          <w:szCs w:val="24"/>
          <w:lang w:val="en-GB"/>
        </w:rPr>
        <w:t xml:space="preserve"> Business and Law Research Centre) </w:t>
      </w:r>
    </w:p>
    <w:p w:rsidR="00CA4677" w:rsidRPr="008863A6" w:rsidRDefault="00CA4677" w:rsidP="00335B21">
      <w:pPr>
        <w:rPr>
          <w:rFonts w:asciiTheme="majorHAnsi" w:hAnsiTheme="majorHAnsi"/>
          <w:sz w:val="24"/>
          <w:szCs w:val="24"/>
        </w:rPr>
      </w:pPr>
    </w:p>
    <w:p w:rsidR="00292E10" w:rsidRPr="008863A6" w:rsidRDefault="00292E10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May 2016</w:t>
      </w:r>
      <w:r w:rsidRPr="008863A6">
        <w:rPr>
          <w:rFonts w:asciiTheme="majorHAnsi" w:hAnsiTheme="majorHAnsi"/>
          <w:sz w:val="24"/>
          <w:szCs w:val="24"/>
        </w:rPr>
        <w:tab/>
        <w:t>Elected member of the International Insolvency Institute</w:t>
      </w:r>
    </w:p>
    <w:p w:rsidR="00E47060" w:rsidRPr="008863A6" w:rsidRDefault="00E47060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May 2018 - </w:t>
      </w:r>
      <w:r w:rsidRPr="008863A6">
        <w:rPr>
          <w:rFonts w:asciiTheme="majorHAnsi" w:hAnsiTheme="majorHAnsi"/>
          <w:sz w:val="24"/>
          <w:szCs w:val="24"/>
        </w:rPr>
        <w:tab/>
        <w:t>Chair of Academic Committee, International Insolvency Institute</w:t>
      </w:r>
    </w:p>
    <w:p w:rsidR="00E47060" w:rsidRPr="008863A6" w:rsidRDefault="00E47060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lastRenderedPageBreak/>
        <w:tab/>
      </w:r>
      <w:r w:rsidRPr="008863A6">
        <w:rPr>
          <w:rFonts w:asciiTheme="majorHAnsi" w:hAnsiTheme="majorHAnsi"/>
          <w:sz w:val="24"/>
          <w:szCs w:val="24"/>
        </w:rPr>
        <w:tab/>
        <w:t xml:space="preserve">Member of </w:t>
      </w:r>
      <w:r w:rsidR="00A97E23" w:rsidRPr="008863A6">
        <w:rPr>
          <w:rFonts w:asciiTheme="majorHAnsi" w:hAnsiTheme="majorHAnsi"/>
          <w:sz w:val="24"/>
          <w:szCs w:val="24"/>
        </w:rPr>
        <w:t xml:space="preserve">Advisory Committee of the </w:t>
      </w:r>
      <w:r w:rsidR="00A97E23" w:rsidRPr="008863A6">
        <w:rPr>
          <w:rFonts w:asciiTheme="majorHAnsi" w:hAnsiTheme="majorHAnsi" w:cs="Calibri"/>
          <w:sz w:val="24"/>
          <w:szCs w:val="24"/>
        </w:rPr>
        <w:t>Asian Principles of Business Restructuring Project</w:t>
      </w:r>
    </w:p>
    <w:p w:rsidR="00292E10" w:rsidRPr="008863A6" w:rsidRDefault="00292E10" w:rsidP="00335B21">
      <w:pPr>
        <w:rPr>
          <w:rFonts w:asciiTheme="majorHAnsi" w:hAnsiTheme="majorHAnsi"/>
          <w:sz w:val="24"/>
          <w:szCs w:val="24"/>
        </w:rPr>
      </w:pPr>
    </w:p>
    <w:p w:rsidR="00335B21" w:rsidRPr="008863A6" w:rsidRDefault="00335B21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April 2014</w:t>
      </w:r>
      <w:r w:rsidRPr="008863A6">
        <w:rPr>
          <w:rFonts w:asciiTheme="majorHAnsi" w:hAnsiTheme="majorHAnsi"/>
          <w:sz w:val="24"/>
          <w:szCs w:val="24"/>
        </w:rPr>
        <w:tab/>
        <w:t>Columbia Law School, visiting professor</w:t>
      </w:r>
    </w:p>
    <w:p w:rsidR="00335B21" w:rsidRPr="008863A6" w:rsidRDefault="00335B21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2016 - 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UK delegate to UNCITRAL Working Group VI (Model law on secured transactions)</w:t>
      </w:r>
    </w:p>
    <w:p w:rsidR="002E12A9" w:rsidRPr="008863A6" w:rsidRDefault="002E12A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2013 - 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Member of the Expert Group in relation to the UNCITRAL Model law on secured transactions</w:t>
      </w:r>
    </w:p>
    <w:p w:rsidR="00D14DE5" w:rsidRPr="008863A6" w:rsidRDefault="00D14DE5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400CEE" w:rsidP="00400CEE">
      <w:pPr>
        <w:pStyle w:val="PlainText"/>
        <w:ind w:left="1440" w:hanging="144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2013-</w:t>
      </w:r>
      <w:r w:rsidRPr="008863A6">
        <w:rPr>
          <w:rFonts w:asciiTheme="majorHAnsi" w:hAnsiTheme="majorHAnsi"/>
          <w:sz w:val="24"/>
          <w:szCs w:val="24"/>
        </w:rPr>
        <w:tab/>
      </w:r>
      <w:r w:rsidR="007C54C4" w:rsidRPr="008863A6">
        <w:rPr>
          <w:rFonts w:asciiTheme="majorHAnsi" w:hAnsiTheme="majorHAnsi"/>
          <w:sz w:val="24"/>
          <w:szCs w:val="24"/>
        </w:rPr>
        <w:t>Executive Director of the Secured Transactions Law Reform Project</w:t>
      </w:r>
      <w:r w:rsidRPr="008863A6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8863A6">
          <w:rPr>
            <w:rStyle w:val="Hyperlink"/>
            <w:rFonts w:asciiTheme="majorHAnsi" w:hAnsiTheme="majorHAnsi"/>
            <w:color w:val="auto"/>
            <w:sz w:val="24"/>
            <w:szCs w:val="24"/>
          </w:rPr>
          <w:t>https://securedtransactionslawreformproject.org/</w:t>
        </w:r>
      </w:hyperlink>
      <w:r w:rsidRPr="008863A6">
        <w:rPr>
          <w:rFonts w:asciiTheme="majorHAnsi" w:hAnsiTheme="majorHAnsi"/>
          <w:sz w:val="24"/>
          <w:szCs w:val="24"/>
        </w:rPr>
        <w:t xml:space="preserve">  </w:t>
      </w:r>
    </w:p>
    <w:p w:rsidR="005B2446" w:rsidRPr="008863A6" w:rsidRDefault="00404785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2010-13</w:t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Member of the Executive committee of the Secured Transactions Law</w:t>
      </w:r>
      <w:r w:rsidR="005B2446" w:rsidRPr="008863A6">
        <w:rPr>
          <w:rFonts w:asciiTheme="majorHAnsi" w:hAnsiTheme="majorHAnsi"/>
          <w:sz w:val="24"/>
          <w:szCs w:val="24"/>
        </w:rPr>
        <w:tab/>
      </w:r>
    </w:p>
    <w:p w:rsidR="005B2446" w:rsidRPr="008863A6" w:rsidRDefault="005B2446" w:rsidP="00404785">
      <w:pPr>
        <w:pStyle w:val="PlainText"/>
        <w:ind w:left="1418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Reform Project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5B2446" w:rsidP="00400CEE">
      <w:pPr>
        <w:pStyle w:val="PlainText"/>
        <w:ind w:left="1418" w:hanging="1418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2011-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  <w:lang w:eastAsia="en-GB"/>
        </w:rPr>
        <w:t>Academic lead, Cape Town Convention Academic Project</w:t>
      </w:r>
      <w:r w:rsidR="00400CEE" w:rsidRPr="008863A6">
        <w:rPr>
          <w:rFonts w:asciiTheme="majorHAnsi" w:hAnsiTheme="majorHAnsi"/>
          <w:sz w:val="24"/>
          <w:szCs w:val="24"/>
          <w:lang w:eastAsia="en-GB"/>
        </w:rPr>
        <w:t xml:space="preserve"> (</w:t>
      </w:r>
      <w:hyperlink r:id="rId9" w:history="1">
        <w:r w:rsidR="00400CEE" w:rsidRPr="008863A6">
          <w:rPr>
            <w:rStyle w:val="Hyperlink"/>
            <w:rFonts w:asciiTheme="majorHAnsi" w:hAnsiTheme="majorHAnsi"/>
            <w:color w:val="auto"/>
            <w:sz w:val="24"/>
            <w:szCs w:val="24"/>
            <w:lang w:eastAsia="en-GB"/>
          </w:rPr>
          <w:t>https://www.law.ox.ac.uk/research-subject-groups/cape-town-convention-academic-project</w:t>
        </w:r>
      </w:hyperlink>
      <w:r w:rsidR="00400CEE" w:rsidRPr="008863A6">
        <w:rPr>
          <w:rFonts w:asciiTheme="majorHAnsi" w:hAnsiTheme="majorHAnsi"/>
          <w:sz w:val="24"/>
          <w:szCs w:val="24"/>
          <w:lang w:eastAsia="en-GB"/>
        </w:rPr>
        <w:t xml:space="preserve">) </w:t>
      </w:r>
      <w:r w:rsidRPr="008863A6">
        <w:rPr>
          <w:rFonts w:asciiTheme="majorHAnsi" w:hAnsiTheme="majorHAnsi"/>
          <w:sz w:val="24"/>
          <w:szCs w:val="24"/>
          <w:lang w:eastAsia="en-GB"/>
        </w:rPr>
        <w:t xml:space="preserve">   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404785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2010-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</w:r>
      <w:r w:rsidR="003B5BA9" w:rsidRPr="008863A6">
        <w:rPr>
          <w:rFonts w:asciiTheme="majorHAnsi" w:hAnsiTheme="majorHAnsi"/>
          <w:sz w:val="24"/>
          <w:szCs w:val="24"/>
        </w:rPr>
        <w:t xml:space="preserve">Elected </w:t>
      </w:r>
      <w:r w:rsidR="005B2446" w:rsidRPr="008863A6">
        <w:rPr>
          <w:rFonts w:asciiTheme="majorHAnsi" w:hAnsiTheme="majorHAnsi"/>
          <w:sz w:val="24"/>
          <w:szCs w:val="24"/>
        </w:rPr>
        <w:t>Member of the International Academy of Commercial and Consumer Law</w:t>
      </w:r>
    </w:p>
    <w:p w:rsidR="005B2446" w:rsidRPr="008863A6" w:rsidRDefault="005B2446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B74F33" w:rsidRPr="008863A6" w:rsidRDefault="00B74F33" w:rsidP="00A11449">
      <w:pPr>
        <w:pStyle w:val="PlainText"/>
        <w:numPr>
          <w:ilvl w:val="1"/>
          <w:numId w:val="1"/>
        </w:numPr>
        <w:tabs>
          <w:tab w:val="clear" w:pos="2160"/>
          <w:tab w:val="num" w:pos="1418"/>
        </w:tabs>
        <w:ind w:left="1418" w:hanging="1418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Consultant to Law Commission in relation to its project on reform of Registration of Security Interests: Company C</w:t>
      </w:r>
      <w:r w:rsidR="00DC5637" w:rsidRPr="008863A6">
        <w:rPr>
          <w:rFonts w:asciiTheme="majorHAnsi" w:hAnsiTheme="majorHAnsi"/>
          <w:sz w:val="24"/>
          <w:szCs w:val="24"/>
        </w:rPr>
        <w:t>harges and Property other than L</w:t>
      </w:r>
      <w:r w:rsidRPr="008863A6">
        <w:rPr>
          <w:rFonts w:asciiTheme="majorHAnsi" w:hAnsiTheme="majorHAnsi"/>
          <w:sz w:val="24"/>
          <w:szCs w:val="24"/>
        </w:rPr>
        <w:t>and.</w:t>
      </w:r>
    </w:p>
    <w:p w:rsidR="00B74F33" w:rsidRPr="008863A6" w:rsidRDefault="00B74F33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3A5EBD" w:rsidRPr="008863A6" w:rsidRDefault="00B74F33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Teaching</w:t>
      </w:r>
      <w:r w:rsidR="001F4527" w:rsidRPr="008863A6">
        <w:rPr>
          <w:rFonts w:asciiTheme="majorHAnsi" w:hAnsiTheme="majorHAnsi"/>
          <w:b/>
          <w:sz w:val="24"/>
          <w:szCs w:val="24"/>
        </w:rPr>
        <w:t xml:space="preserve"> and</w:t>
      </w:r>
      <w:r w:rsidRPr="008863A6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8863A6">
        <w:rPr>
          <w:rFonts w:asciiTheme="majorHAnsi" w:hAnsiTheme="majorHAnsi"/>
          <w:b/>
          <w:sz w:val="24"/>
          <w:szCs w:val="24"/>
        </w:rPr>
        <w:t xml:space="preserve">examining </w:t>
      </w:r>
      <w:r w:rsidR="00586535" w:rsidRPr="008863A6">
        <w:rPr>
          <w:rFonts w:asciiTheme="majorHAnsi" w:hAnsiTheme="majorHAnsi"/>
          <w:b/>
          <w:sz w:val="24"/>
          <w:szCs w:val="24"/>
        </w:rPr>
        <w:t xml:space="preserve"> </w:t>
      </w:r>
      <w:r w:rsidR="003A5EBD" w:rsidRPr="008863A6">
        <w:rPr>
          <w:rFonts w:asciiTheme="majorHAnsi" w:hAnsiTheme="majorHAnsi"/>
          <w:b/>
          <w:sz w:val="24"/>
          <w:szCs w:val="24"/>
        </w:rPr>
        <w:t>appointments</w:t>
      </w:r>
      <w:proofErr w:type="gramEnd"/>
    </w:p>
    <w:p w:rsidR="00A97AC1" w:rsidRPr="008863A6" w:rsidRDefault="00A97AC1" w:rsidP="00A97AC1">
      <w:pPr>
        <w:pStyle w:val="PlainText"/>
        <w:rPr>
          <w:rFonts w:asciiTheme="majorHAnsi" w:hAnsiTheme="majorHAnsi"/>
          <w:sz w:val="24"/>
          <w:szCs w:val="24"/>
        </w:rPr>
      </w:pPr>
    </w:p>
    <w:p w:rsidR="003028EE" w:rsidRPr="008863A6" w:rsidRDefault="003028EE" w:rsidP="00A97AC1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2018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Visiting Professor, National University of Singapore</w:t>
      </w:r>
    </w:p>
    <w:p w:rsidR="003028EE" w:rsidRPr="008863A6" w:rsidRDefault="003028EE" w:rsidP="00D14DE5">
      <w:pPr>
        <w:pStyle w:val="PlainText"/>
        <w:rPr>
          <w:rFonts w:asciiTheme="majorHAnsi" w:hAnsiTheme="majorHAnsi"/>
          <w:sz w:val="24"/>
          <w:szCs w:val="24"/>
        </w:rPr>
      </w:pPr>
    </w:p>
    <w:p w:rsidR="00FB7C1F" w:rsidRPr="008863A6" w:rsidRDefault="00FB7C1F" w:rsidP="00D14DE5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Visiting Professor, City University Hong Kong</w:t>
      </w:r>
    </w:p>
    <w:p w:rsidR="00FB7C1F" w:rsidRPr="008863A6" w:rsidRDefault="00FB7C1F" w:rsidP="00D14DE5">
      <w:pPr>
        <w:pStyle w:val="PlainText"/>
        <w:rPr>
          <w:rFonts w:asciiTheme="majorHAnsi" w:hAnsiTheme="majorHAnsi"/>
          <w:sz w:val="24"/>
          <w:szCs w:val="24"/>
        </w:rPr>
      </w:pPr>
    </w:p>
    <w:p w:rsidR="00D14DE5" w:rsidRPr="008863A6" w:rsidRDefault="00D14DE5" w:rsidP="00D14DE5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2016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 xml:space="preserve">Kwa </w:t>
      </w:r>
      <w:proofErr w:type="spellStart"/>
      <w:r w:rsidRPr="008863A6">
        <w:rPr>
          <w:rFonts w:asciiTheme="majorHAnsi" w:hAnsiTheme="majorHAnsi"/>
          <w:sz w:val="24"/>
          <w:szCs w:val="24"/>
        </w:rPr>
        <w:t>Geok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Choo Distinguished Visiting Professor at National University of Singapore</w:t>
      </w:r>
    </w:p>
    <w:p w:rsidR="00D14DE5" w:rsidRPr="008863A6" w:rsidRDefault="00D14DE5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CB25C9" w:rsidRPr="008863A6" w:rsidRDefault="00CB25C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2014-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Visiting Professor, University of Leiden</w:t>
      </w:r>
    </w:p>
    <w:p w:rsidR="00CB25C9" w:rsidRPr="008863A6" w:rsidRDefault="00CB25C9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404785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2012-</w:t>
      </w:r>
      <w:r w:rsidR="00CB25C9" w:rsidRPr="008863A6">
        <w:rPr>
          <w:rFonts w:asciiTheme="majorHAnsi" w:hAnsiTheme="majorHAnsi"/>
          <w:sz w:val="24"/>
          <w:szCs w:val="24"/>
        </w:rPr>
        <w:t>2014</w:t>
      </w:r>
      <w:r w:rsidRPr="008863A6">
        <w:rPr>
          <w:rFonts w:asciiTheme="majorHAnsi" w:hAnsiTheme="majorHAnsi"/>
          <w:sz w:val="24"/>
          <w:szCs w:val="24"/>
        </w:rPr>
        <w:tab/>
      </w:r>
      <w:proofErr w:type="spellStart"/>
      <w:r w:rsidR="005B2446" w:rsidRPr="008863A6">
        <w:rPr>
          <w:rFonts w:asciiTheme="majorHAnsi" w:hAnsiTheme="majorHAnsi"/>
          <w:sz w:val="24"/>
          <w:szCs w:val="24"/>
        </w:rPr>
        <w:t>Professeur</w:t>
      </w:r>
      <w:proofErr w:type="spellEnd"/>
      <w:r w:rsidR="005B2446" w:rsidRPr="008863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B2446" w:rsidRPr="008863A6">
        <w:rPr>
          <w:rFonts w:asciiTheme="majorHAnsi" w:hAnsiTheme="majorHAnsi"/>
          <w:sz w:val="24"/>
          <w:szCs w:val="24"/>
        </w:rPr>
        <w:t>Invitée</w:t>
      </w:r>
      <w:proofErr w:type="spellEnd"/>
      <w:r w:rsidR="005B2446" w:rsidRPr="008863A6">
        <w:rPr>
          <w:rFonts w:asciiTheme="majorHAnsi" w:hAnsiTheme="majorHAnsi"/>
          <w:sz w:val="24"/>
          <w:szCs w:val="24"/>
        </w:rPr>
        <w:t>, Paris 1 Sorbonne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502F3C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2012-2016</w:t>
      </w:r>
      <w:r w:rsidR="00404785"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External Examiner</w:t>
      </w:r>
      <w:r w:rsidR="007C54C4" w:rsidRPr="008863A6">
        <w:rPr>
          <w:rFonts w:asciiTheme="majorHAnsi" w:hAnsiTheme="majorHAnsi"/>
          <w:sz w:val="24"/>
          <w:szCs w:val="24"/>
        </w:rPr>
        <w:t>,</w:t>
      </w:r>
      <w:r w:rsidR="005B2446" w:rsidRPr="008863A6">
        <w:rPr>
          <w:rFonts w:asciiTheme="majorHAnsi" w:hAnsiTheme="majorHAnsi"/>
          <w:sz w:val="24"/>
          <w:szCs w:val="24"/>
        </w:rPr>
        <w:t xml:space="preserve"> U</w:t>
      </w:r>
      <w:r w:rsidR="007C54C4" w:rsidRPr="008863A6">
        <w:rPr>
          <w:rFonts w:asciiTheme="majorHAnsi" w:hAnsiTheme="majorHAnsi"/>
          <w:sz w:val="24"/>
          <w:szCs w:val="24"/>
        </w:rPr>
        <w:t xml:space="preserve">niversity </w:t>
      </w:r>
      <w:r w:rsidR="005B2446" w:rsidRPr="008863A6">
        <w:rPr>
          <w:rFonts w:asciiTheme="majorHAnsi" w:hAnsiTheme="majorHAnsi"/>
          <w:sz w:val="24"/>
          <w:szCs w:val="24"/>
        </w:rPr>
        <w:t>C</w:t>
      </w:r>
      <w:r w:rsidR="007C54C4" w:rsidRPr="008863A6">
        <w:rPr>
          <w:rFonts w:asciiTheme="majorHAnsi" w:hAnsiTheme="majorHAnsi"/>
          <w:sz w:val="24"/>
          <w:szCs w:val="24"/>
        </w:rPr>
        <w:t xml:space="preserve">ollege, </w:t>
      </w:r>
      <w:r w:rsidR="005B2446" w:rsidRPr="008863A6">
        <w:rPr>
          <w:rFonts w:asciiTheme="majorHAnsi" w:hAnsiTheme="majorHAnsi"/>
          <w:sz w:val="24"/>
          <w:szCs w:val="24"/>
        </w:rPr>
        <w:t>L</w:t>
      </w:r>
      <w:r w:rsidR="007C54C4" w:rsidRPr="008863A6">
        <w:rPr>
          <w:rFonts w:asciiTheme="majorHAnsi" w:hAnsiTheme="majorHAnsi"/>
          <w:sz w:val="24"/>
          <w:szCs w:val="24"/>
        </w:rPr>
        <w:t>ondon (LLM)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3B5BA9" w:rsidP="00A97AC1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2007-</w:t>
      </w:r>
      <w:r w:rsidR="00404785" w:rsidRPr="008863A6">
        <w:rPr>
          <w:rFonts w:asciiTheme="majorHAnsi" w:hAnsiTheme="majorHAnsi"/>
          <w:sz w:val="24"/>
          <w:szCs w:val="24"/>
        </w:rPr>
        <w:t>2010</w:t>
      </w:r>
      <w:r w:rsidR="00404785" w:rsidRPr="008863A6">
        <w:rPr>
          <w:rFonts w:asciiTheme="majorHAnsi" w:hAnsiTheme="majorHAnsi"/>
          <w:sz w:val="24"/>
          <w:szCs w:val="24"/>
        </w:rPr>
        <w:tab/>
      </w:r>
      <w:r w:rsidR="00A97AC1" w:rsidRPr="008863A6">
        <w:rPr>
          <w:rFonts w:asciiTheme="majorHAnsi" w:hAnsiTheme="majorHAnsi"/>
          <w:sz w:val="24"/>
          <w:szCs w:val="24"/>
        </w:rPr>
        <w:t>External Examiner</w:t>
      </w:r>
      <w:r w:rsidR="007C54C4" w:rsidRPr="008863A6">
        <w:rPr>
          <w:rFonts w:asciiTheme="majorHAnsi" w:hAnsiTheme="majorHAnsi"/>
          <w:sz w:val="24"/>
          <w:szCs w:val="24"/>
        </w:rPr>
        <w:t>, University of Bristol (</w:t>
      </w:r>
      <w:r w:rsidR="008C2B61" w:rsidRPr="008863A6">
        <w:rPr>
          <w:rFonts w:asciiTheme="majorHAnsi" w:hAnsiTheme="majorHAnsi"/>
          <w:sz w:val="24"/>
          <w:szCs w:val="24"/>
        </w:rPr>
        <w:t xml:space="preserve">LLB and </w:t>
      </w:r>
      <w:r w:rsidR="00A97AC1" w:rsidRPr="008863A6">
        <w:rPr>
          <w:rFonts w:asciiTheme="majorHAnsi" w:hAnsiTheme="majorHAnsi"/>
          <w:sz w:val="24"/>
          <w:szCs w:val="24"/>
        </w:rPr>
        <w:t>L</w:t>
      </w:r>
      <w:r w:rsidR="0086616B" w:rsidRPr="008863A6">
        <w:rPr>
          <w:rFonts w:asciiTheme="majorHAnsi" w:hAnsiTheme="majorHAnsi"/>
          <w:sz w:val="24"/>
          <w:szCs w:val="24"/>
        </w:rPr>
        <w:t>LM</w:t>
      </w:r>
      <w:r w:rsidR="007C54C4" w:rsidRPr="008863A6">
        <w:rPr>
          <w:rFonts w:asciiTheme="majorHAnsi" w:hAnsiTheme="majorHAnsi"/>
          <w:sz w:val="24"/>
          <w:szCs w:val="24"/>
        </w:rPr>
        <w:t>)</w:t>
      </w:r>
    </w:p>
    <w:p w:rsidR="0086616B" w:rsidRPr="008863A6" w:rsidRDefault="0086616B" w:rsidP="00A97AC1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 </w:t>
      </w:r>
    </w:p>
    <w:p w:rsidR="005B2446" w:rsidRPr="008863A6" w:rsidRDefault="003B5BA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2006- 2017</w:t>
      </w:r>
      <w:r w:rsidR="00404785"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Boston University School of Law Oxford Study Abroad Program Director</w:t>
      </w:r>
    </w:p>
    <w:p w:rsidR="00B2466E" w:rsidRPr="008863A6" w:rsidRDefault="00B2466E" w:rsidP="00A97AC1">
      <w:pPr>
        <w:pStyle w:val="PlainText"/>
        <w:rPr>
          <w:rFonts w:asciiTheme="majorHAnsi" w:hAnsiTheme="majorHAnsi"/>
          <w:sz w:val="24"/>
          <w:szCs w:val="24"/>
        </w:rPr>
      </w:pPr>
    </w:p>
    <w:p w:rsidR="00B74F33" w:rsidRPr="008863A6" w:rsidRDefault="00B74F33" w:rsidP="00A97AC1">
      <w:pPr>
        <w:pStyle w:val="PlainText"/>
        <w:rPr>
          <w:rFonts w:asciiTheme="majorHAnsi" w:hAnsiTheme="majorHAnsi"/>
          <w:sz w:val="24"/>
          <w:szCs w:val="24"/>
        </w:rPr>
      </w:pPr>
    </w:p>
    <w:p w:rsidR="00B74F33" w:rsidRPr="008863A6" w:rsidRDefault="00B74F33" w:rsidP="00A97AC1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lastRenderedPageBreak/>
        <w:t>Administrative appointments</w:t>
      </w:r>
    </w:p>
    <w:p w:rsidR="00B74F33" w:rsidRPr="008863A6" w:rsidRDefault="00B74F33" w:rsidP="00A97AC1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7C54C4" w:rsidRPr="008863A6" w:rsidRDefault="007C54C4" w:rsidP="00A97AC1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University</w:t>
      </w:r>
    </w:p>
    <w:p w:rsidR="005879C7" w:rsidRPr="008863A6" w:rsidRDefault="005879C7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879C7" w:rsidRPr="008863A6" w:rsidRDefault="005879C7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</w:t>
      </w:r>
      <w:r w:rsidR="00671259" w:rsidRPr="008863A6">
        <w:rPr>
          <w:rFonts w:asciiTheme="majorHAnsi" w:hAnsiTheme="majorHAnsi"/>
          <w:sz w:val="24"/>
          <w:szCs w:val="24"/>
        </w:rPr>
        <w:t>-2020</w:t>
      </w:r>
      <w:r w:rsidRPr="008863A6">
        <w:rPr>
          <w:rFonts w:asciiTheme="majorHAnsi" w:hAnsiTheme="majorHAnsi"/>
          <w:sz w:val="24"/>
          <w:szCs w:val="24"/>
        </w:rPr>
        <w:tab/>
        <w:t>Director of Examinations, Law Faculty</w:t>
      </w:r>
    </w:p>
    <w:p w:rsidR="00E47060" w:rsidRPr="008863A6" w:rsidRDefault="00E47060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2017-2020</w:t>
      </w:r>
      <w:r w:rsidRPr="008863A6">
        <w:rPr>
          <w:rFonts w:asciiTheme="majorHAnsi" w:hAnsiTheme="majorHAnsi"/>
          <w:sz w:val="24"/>
          <w:szCs w:val="24"/>
        </w:rPr>
        <w:tab/>
        <w:t>Member, Law Board</w:t>
      </w:r>
    </w:p>
    <w:p w:rsidR="00337158" w:rsidRPr="008863A6" w:rsidRDefault="00337158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337158" w:rsidRPr="008863A6" w:rsidRDefault="00337158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2015-2018</w:t>
      </w:r>
      <w:r w:rsidRPr="008863A6">
        <w:rPr>
          <w:rFonts w:asciiTheme="majorHAnsi" w:hAnsiTheme="majorHAnsi"/>
          <w:sz w:val="24"/>
          <w:szCs w:val="24"/>
        </w:rPr>
        <w:tab/>
        <w:t>Member, Faculty personnel committee</w:t>
      </w:r>
    </w:p>
    <w:p w:rsidR="00AC1327" w:rsidRPr="008863A6" w:rsidRDefault="00AC1327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AC1327" w:rsidRPr="008863A6" w:rsidRDefault="00AC1327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2017-18</w:t>
      </w:r>
      <w:r w:rsidRPr="008863A6">
        <w:rPr>
          <w:rFonts w:asciiTheme="majorHAnsi" w:hAnsiTheme="majorHAnsi"/>
          <w:sz w:val="24"/>
          <w:szCs w:val="24"/>
        </w:rPr>
        <w:tab/>
        <w:t>BCL supervisor (adviser)</w:t>
      </w:r>
    </w:p>
    <w:p w:rsidR="007D21DB" w:rsidRPr="008863A6" w:rsidRDefault="007D21DB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7D21DB" w:rsidRPr="008863A6" w:rsidRDefault="007D21DB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Member, workload committee.</w:t>
      </w:r>
    </w:p>
    <w:p w:rsidR="0015091C" w:rsidRPr="008863A6" w:rsidRDefault="0015091C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15091C" w:rsidRPr="008863A6" w:rsidRDefault="0015091C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2016-18</w:t>
      </w:r>
      <w:r w:rsidRPr="008863A6">
        <w:rPr>
          <w:rFonts w:asciiTheme="majorHAnsi" w:hAnsiTheme="majorHAnsi"/>
          <w:sz w:val="24"/>
          <w:szCs w:val="24"/>
        </w:rPr>
        <w:tab/>
        <w:t>Member, graduate law degree committee</w:t>
      </w:r>
    </w:p>
    <w:p w:rsidR="005879C7" w:rsidRPr="008863A6" w:rsidRDefault="005879C7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CB25C9" w:rsidRPr="008863A6" w:rsidRDefault="00CB25C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2015 -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Faculty assessor</w:t>
      </w:r>
    </w:p>
    <w:p w:rsidR="009F080F" w:rsidRPr="008863A6" w:rsidRDefault="009F080F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9F080F" w:rsidRPr="008863A6" w:rsidRDefault="009F080F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2015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Chair of examiners, BCL/</w:t>
      </w:r>
      <w:proofErr w:type="spellStart"/>
      <w:r w:rsidRPr="008863A6">
        <w:rPr>
          <w:rFonts w:asciiTheme="majorHAnsi" w:hAnsiTheme="majorHAnsi"/>
          <w:sz w:val="24"/>
          <w:szCs w:val="24"/>
        </w:rPr>
        <w:t>MJur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(taught graduate course)</w:t>
      </w:r>
    </w:p>
    <w:p w:rsidR="00CB25C9" w:rsidRPr="008863A6" w:rsidRDefault="00CB25C9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2008 - 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Chair, Student Disciplinary Panel</w:t>
      </w:r>
      <w:r w:rsidR="00CB25C9" w:rsidRPr="008863A6">
        <w:rPr>
          <w:rFonts w:asciiTheme="majorHAnsi" w:hAnsiTheme="majorHAnsi"/>
          <w:sz w:val="24"/>
          <w:szCs w:val="24"/>
        </w:rPr>
        <w:t>,</w:t>
      </w:r>
      <w:r w:rsidR="005B2446" w:rsidRPr="008863A6">
        <w:rPr>
          <w:rFonts w:asciiTheme="majorHAnsi" w:hAnsiTheme="majorHAnsi"/>
          <w:sz w:val="24"/>
          <w:szCs w:val="24"/>
        </w:rPr>
        <w:t xml:space="preserve"> Oxford University</w:t>
      </w:r>
    </w:p>
    <w:p w:rsidR="00671259" w:rsidRPr="008863A6" w:rsidRDefault="00671259" w:rsidP="00671259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2007 – 2008</w:t>
      </w:r>
      <w:r w:rsidRPr="008863A6">
        <w:rPr>
          <w:rFonts w:asciiTheme="majorHAnsi" w:hAnsiTheme="majorHAnsi"/>
          <w:sz w:val="24"/>
          <w:szCs w:val="24"/>
        </w:rPr>
        <w:tab/>
        <w:t>Vice-Chair, Student Disciplinary Panel, Oxford University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2008 – 2012</w:t>
      </w:r>
      <w:r w:rsidRPr="008863A6">
        <w:rPr>
          <w:rFonts w:asciiTheme="majorHAnsi" w:hAnsiTheme="majorHAnsi"/>
          <w:sz w:val="24"/>
          <w:szCs w:val="24"/>
        </w:rPr>
        <w:tab/>
      </w:r>
      <w:r w:rsidR="006E56EE" w:rsidRPr="008863A6">
        <w:rPr>
          <w:rFonts w:asciiTheme="majorHAnsi" w:hAnsiTheme="majorHAnsi"/>
          <w:sz w:val="24"/>
          <w:szCs w:val="24"/>
        </w:rPr>
        <w:t>Development c</w:t>
      </w:r>
      <w:r w:rsidR="005B2446" w:rsidRPr="008863A6">
        <w:rPr>
          <w:rFonts w:asciiTheme="majorHAnsi" w:hAnsiTheme="majorHAnsi"/>
          <w:sz w:val="24"/>
          <w:szCs w:val="24"/>
        </w:rPr>
        <w:t>oordinator, Law Faculty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2007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 xml:space="preserve">Chair of Examiners, Final </w:t>
      </w:r>
      <w:proofErr w:type="spellStart"/>
      <w:r w:rsidR="005B2446" w:rsidRPr="008863A6">
        <w:rPr>
          <w:rFonts w:asciiTheme="majorHAnsi" w:hAnsiTheme="majorHAnsi"/>
          <w:sz w:val="24"/>
          <w:szCs w:val="24"/>
        </w:rPr>
        <w:t>Honours</w:t>
      </w:r>
      <w:proofErr w:type="spellEnd"/>
      <w:r w:rsidR="005B2446" w:rsidRPr="008863A6">
        <w:rPr>
          <w:rFonts w:asciiTheme="majorHAnsi" w:hAnsiTheme="majorHAnsi"/>
          <w:sz w:val="24"/>
          <w:szCs w:val="24"/>
        </w:rPr>
        <w:t xml:space="preserve"> School </w:t>
      </w: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2003 - 2004</w:t>
      </w:r>
      <w:r w:rsidRPr="008863A6">
        <w:rPr>
          <w:rFonts w:asciiTheme="majorHAnsi" w:hAnsiTheme="majorHAnsi"/>
          <w:sz w:val="24"/>
          <w:szCs w:val="24"/>
        </w:rPr>
        <w:tab/>
        <w:t>Member Law Admissions Working Group</w:t>
      </w: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2004 - 2007</w:t>
      </w:r>
      <w:r w:rsidRPr="008863A6">
        <w:rPr>
          <w:rFonts w:asciiTheme="majorHAnsi" w:hAnsiTheme="majorHAnsi"/>
          <w:sz w:val="24"/>
          <w:szCs w:val="24"/>
        </w:rPr>
        <w:tab/>
        <w:t xml:space="preserve">Oxford representative on the LNAT Consortium </w:t>
      </w:r>
    </w:p>
    <w:p w:rsidR="007C54C4" w:rsidRPr="008863A6" w:rsidRDefault="007C54C4" w:rsidP="007C54C4">
      <w:pPr>
        <w:pStyle w:val="PlainText"/>
        <w:rPr>
          <w:rFonts w:asciiTheme="majorHAnsi" w:hAnsiTheme="majorHAnsi"/>
          <w:i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i/>
          <w:sz w:val="24"/>
          <w:szCs w:val="24"/>
        </w:rPr>
        <w:t>This involved setting up the LNAT and the Consortium as well as managing</w:t>
      </w:r>
    </w:p>
    <w:p w:rsidR="007C54C4" w:rsidRPr="008863A6" w:rsidRDefault="007C54C4" w:rsidP="007C54C4">
      <w:pPr>
        <w:pStyle w:val="PlainText"/>
        <w:ind w:left="720" w:firstLine="720"/>
        <w:rPr>
          <w:rFonts w:asciiTheme="majorHAnsi" w:hAnsiTheme="majorHAnsi"/>
          <w:i/>
          <w:sz w:val="24"/>
          <w:szCs w:val="24"/>
        </w:rPr>
      </w:pPr>
      <w:proofErr w:type="gramStart"/>
      <w:r w:rsidRPr="008863A6">
        <w:rPr>
          <w:rFonts w:asciiTheme="majorHAnsi" w:hAnsiTheme="majorHAnsi"/>
          <w:i/>
          <w:sz w:val="24"/>
          <w:szCs w:val="24"/>
        </w:rPr>
        <w:t>its</w:t>
      </w:r>
      <w:proofErr w:type="gramEnd"/>
      <w:r w:rsidRPr="008863A6">
        <w:rPr>
          <w:rFonts w:asciiTheme="majorHAnsi" w:hAnsiTheme="majorHAnsi"/>
          <w:i/>
          <w:sz w:val="24"/>
          <w:szCs w:val="24"/>
        </w:rPr>
        <w:t xml:space="preserve"> first few years</w:t>
      </w: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2005 -</w:t>
      </w:r>
      <w:r w:rsidRPr="008863A6">
        <w:rPr>
          <w:rFonts w:asciiTheme="majorHAnsi" w:hAnsiTheme="majorHAnsi"/>
          <w:sz w:val="24"/>
          <w:szCs w:val="24"/>
        </w:rPr>
        <w:tab/>
      </w:r>
      <w:r w:rsidR="00671259" w:rsidRPr="008863A6">
        <w:rPr>
          <w:rFonts w:asciiTheme="majorHAnsi" w:hAnsiTheme="majorHAnsi"/>
          <w:sz w:val="24"/>
          <w:szCs w:val="24"/>
        </w:rPr>
        <w:t>2016</w:t>
      </w:r>
      <w:r w:rsidRPr="008863A6">
        <w:rPr>
          <w:rFonts w:asciiTheme="majorHAnsi" w:hAnsiTheme="majorHAnsi"/>
          <w:sz w:val="24"/>
          <w:szCs w:val="24"/>
        </w:rPr>
        <w:tab/>
        <w:t>Member, Faculty Selection Committee</w:t>
      </w: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2004 – 2006</w:t>
      </w:r>
      <w:r w:rsidRPr="008863A6">
        <w:rPr>
          <w:rFonts w:asciiTheme="majorHAnsi" w:hAnsiTheme="majorHAnsi"/>
          <w:sz w:val="24"/>
          <w:szCs w:val="24"/>
        </w:rPr>
        <w:tab/>
        <w:t>Member Law Board</w:t>
      </w:r>
    </w:p>
    <w:p w:rsidR="007C54C4" w:rsidRPr="008863A6" w:rsidRDefault="007C54C4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5B2446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College</w:t>
      </w:r>
    </w:p>
    <w:p w:rsidR="005879C7" w:rsidRPr="008863A6" w:rsidRDefault="005879C7" w:rsidP="007C54C4">
      <w:pPr>
        <w:pStyle w:val="PlainText"/>
        <w:rPr>
          <w:rFonts w:asciiTheme="majorHAnsi" w:hAnsiTheme="majorHAnsi"/>
          <w:sz w:val="24"/>
          <w:szCs w:val="24"/>
        </w:rPr>
      </w:pPr>
    </w:p>
    <w:p w:rsidR="00671259" w:rsidRPr="008863A6" w:rsidRDefault="000E034A" w:rsidP="007C54C4">
      <w:pPr>
        <w:pStyle w:val="Plai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2017-2019</w:t>
      </w:r>
      <w:r w:rsidR="00671259" w:rsidRPr="008863A6">
        <w:rPr>
          <w:rFonts w:asciiTheme="majorHAnsi" w:hAnsiTheme="majorHAnsi"/>
          <w:sz w:val="24"/>
          <w:szCs w:val="24"/>
        </w:rPr>
        <w:tab/>
        <w:t xml:space="preserve">Vice-Principal, Harris Manchester College </w:t>
      </w:r>
    </w:p>
    <w:p w:rsidR="007C54C4" w:rsidRPr="008863A6" w:rsidRDefault="007C54C4" w:rsidP="007C54C4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2013 – 2014</w:t>
      </w:r>
      <w:r w:rsidRPr="008863A6">
        <w:rPr>
          <w:rFonts w:asciiTheme="majorHAnsi" w:hAnsiTheme="majorHAnsi"/>
          <w:sz w:val="24"/>
          <w:szCs w:val="24"/>
        </w:rPr>
        <w:tab/>
        <w:t>Dean, Harris Manchester College</w:t>
      </w: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2006 – 2008</w:t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Tutor for graduates, Harris Manchester College</w:t>
      </w: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1999 – 2005</w:t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Steward of SCR, Harris Manchester College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5B2446" w:rsidP="005B2446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Other administrative and committee positions</w:t>
      </w: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5B2446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lastRenderedPageBreak/>
        <w:t xml:space="preserve">Current membership of university committees:  Conference of Colleges Legal Panel, </w:t>
      </w:r>
      <w:proofErr w:type="spellStart"/>
      <w:r w:rsidRPr="008863A6">
        <w:rPr>
          <w:rFonts w:asciiTheme="majorHAnsi" w:hAnsiTheme="majorHAnsi"/>
          <w:sz w:val="24"/>
          <w:szCs w:val="24"/>
        </w:rPr>
        <w:t>Bapsybanoo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Marchioness of Winchester Lectureship and The </w:t>
      </w:r>
      <w:proofErr w:type="spellStart"/>
      <w:r w:rsidRPr="008863A6">
        <w:rPr>
          <w:rFonts w:asciiTheme="majorHAnsi" w:hAnsiTheme="majorHAnsi"/>
          <w:sz w:val="24"/>
          <w:szCs w:val="24"/>
        </w:rPr>
        <w:t>Dasturzada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Dr Jal </w:t>
      </w:r>
      <w:proofErr w:type="spellStart"/>
      <w:r w:rsidRPr="008863A6">
        <w:rPr>
          <w:rFonts w:asciiTheme="majorHAnsi" w:hAnsiTheme="majorHAnsi"/>
          <w:sz w:val="24"/>
          <w:szCs w:val="24"/>
        </w:rPr>
        <w:t>Pavry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Le</w:t>
      </w:r>
      <w:r w:rsidR="005879C7" w:rsidRPr="008863A6">
        <w:rPr>
          <w:rFonts w:asciiTheme="majorHAnsi" w:hAnsiTheme="majorHAnsi"/>
          <w:sz w:val="24"/>
          <w:szCs w:val="24"/>
        </w:rPr>
        <w:t>ctureship Management Committee.</w:t>
      </w:r>
    </w:p>
    <w:p w:rsidR="005879C7" w:rsidRPr="008863A6" w:rsidRDefault="005879C7" w:rsidP="005B2446">
      <w:pPr>
        <w:pStyle w:val="PlainText"/>
        <w:rPr>
          <w:rFonts w:asciiTheme="majorHAnsi" w:hAnsiTheme="majorHAnsi"/>
          <w:sz w:val="24"/>
          <w:szCs w:val="24"/>
        </w:rPr>
      </w:pP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2011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 xml:space="preserve">Member, Oxford University working group on foundation courses  </w:t>
      </w:r>
    </w:p>
    <w:p w:rsidR="005B2446" w:rsidRPr="008863A6" w:rsidRDefault="00A11449" w:rsidP="005B2446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2007- 2012</w:t>
      </w:r>
      <w:r w:rsidRPr="008863A6">
        <w:rPr>
          <w:rFonts w:asciiTheme="majorHAnsi" w:hAnsiTheme="majorHAnsi"/>
          <w:sz w:val="24"/>
          <w:szCs w:val="24"/>
        </w:rPr>
        <w:tab/>
      </w:r>
      <w:r w:rsidR="005B2446" w:rsidRPr="008863A6">
        <w:rPr>
          <w:rFonts w:asciiTheme="majorHAnsi" w:hAnsiTheme="majorHAnsi"/>
          <w:sz w:val="24"/>
          <w:szCs w:val="24"/>
        </w:rPr>
        <w:t>Member, Eldon Law Scholarship committee</w:t>
      </w:r>
    </w:p>
    <w:p w:rsidR="00E233EC" w:rsidRPr="008863A6" w:rsidRDefault="00A11449" w:rsidP="001E239F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  <w:lang w:val="en-GB"/>
        </w:rPr>
        <w:t>2006</w:t>
      </w:r>
      <w:r w:rsidRPr="008863A6">
        <w:rPr>
          <w:rFonts w:asciiTheme="majorHAnsi" w:hAnsiTheme="majorHAnsi"/>
          <w:sz w:val="24"/>
          <w:szCs w:val="24"/>
          <w:lang w:val="en-GB"/>
        </w:rPr>
        <w:tab/>
      </w:r>
      <w:r w:rsidRPr="008863A6">
        <w:rPr>
          <w:rFonts w:asciiTheme="majorHAnsi" w:hAnsiTheme="majorHAnsi"/>
          <w:sz w:val="24"/>
          <w:szCs w:val="24"/>
          <w:lang w:val="en-GB"/>
        </w:rPr>
        <w:tab/>
      </w:r>
      <w:r w:rsidR="00E233EC" w:rsidRPr="008863A6">
        <w:rPr>
          <w:rFonts w:asciiTheme="majorHAnsi" w:hAnsiTheme="majorHAnsi"/>
          <w:sz w:val="24"/>
          <w:szCs w:val="24"/>
          <w:lang w:val="en-GB"/>
        </w:rPr>
        <w:t>Member of University Childcare review committee</w:t>
      </w:r>
    </w:p>
    <w:p w:rsidR="00E233EC" w:rsidRPr="008863A6" w:rsidRDefault="00E233EC" w:rsidP="001E239F">
      <w:pPr>
        <w:pStyle w:val="PlainText"/>
        <w:rPr>
          <w:rFonts w:asciiTheme="majorHAnsi" w:hAnsiTheme="majorHAnsi"/>
          <w:sz w:val="24"/>
          <w:szCs w:val="24"/>
        </w:rPr>
      </w:pPr>
    </w:p>
    <w:p w:rsidR="000F48B4" w:rsidRPr="008863A6" w:rsidRDefault="000F48B4" w:rsidP="001E239F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 have sat on a number of appointment committees, both for Oxford (university and college) and elsewhere.</w:t>
      </w:r>
    </w:p>
    <w:p w:rsidR="001E0BC2" w:rsidRPr="008863A6" w:rsidRDefault="001E0BC2" w:rsidP="001E239F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Education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1970-1979: Brighton &amp; Hove High School for Girls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1979-1983: Hertford College, Oxford      </w:t>
      </w:r>
    </w:p>
    <w:p w:rsidR="00CA4677" w:rsidRPr="008863A6" w:rsidRDefault="00CA4677" w:rsidP="00CA4677">
      <w:pPr>
        <w:pStyle w:val="PlainText"/>
        <w:ind w:firstLine="72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MA Jurisprudence, First Class </w:t>
      </w:r>
      <w:proofErr w:type="spellStart"/>
      <w:r w:rsidRPr="008863A6">
        <w:rPr>
          <w:rFonts w:asciiTheme="majorHAnsi" w:hAnsiTheme="majorHAnsi"/>
          <w:sz w:val="24"/>
          <w:szCs w:val="24"/>
        </w:rPr>
        <w:t>Honours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, </w:t>
      </w:r>
    </w:p>
    <w:p w:rsidR="00CA4677" w:rsidRPr="008863A6" w:rsidRDefault="00CA4677" w:rsidP="00CA4677">
      <w:pPr>
        <w:pStyle w:val="PlainText"/>
        <w:ind w:firstLine="72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BCL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Awards and Prizes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ind w:left="1560" w:hanging="156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Gray's Inn awards: Atkin Scholarship, Holker Senior Award, </w:t>
      </w:r>
      <w:proofErr w:type="spellStart"/>
      <w:r w:rsidRPr="008863A6">
        <w:rPr>
          <w:rFonts w:asciiTheme="majorHAnsi" w:hAnsiTheme="majorHAnsi"/>
          <w:sz w:val="24"/>
          <w:szCs w:val="24"/>
        </w:rPr>
        <w:t>Karmel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Scholarship, Cynthia Terry Award, </w:t>
      </w:r>
      <w:proofErr w:type="spellStart"/>
      <w:r w:rsidRPr="008863A6">
        <w:rPr>
          <w:rFonts w:asciiTheme="majorHAnsi" w:hAnsiTheme="majorHAnsi"/>
          <w:sz w:val="24"/>
          <w:szCs w:val="24"/>
        </w:rPr>
        <w:t>Utthwatt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Scholarship;</w:t>
      </w:r>
    </w:p>
    <w:p w:rsidR="00CA4677" w:rsidRPr="008863A6" w:rsidRDefault="00CA4677" w:rsidP="00CA4677">
      <w:pPr>
        <w:pStyle w:val="PlainText"/>
        <w:ind w:left="1560" w:hanging="156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Pupillage award (3 Gray’s Inn Place)</w:t>
      </w:r>
    </w:p>
    <w:p w:rsidR="00CA4677" w:rsidRPr="008863A6" w:rsidRDefault="00CA4677" w:rsidP="00CA4677">
      <w:pPr>
        <w:pStyle w:val="PlainText"/>
        <w:ind w:left="1560" w:hanging="1560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ind w:left="1560" w:hanging="156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2008 </w:t>
      </w:r>
      <w:r w:rsidRPr="008863A6">
        <w:rPr>
          <w:rFonts w:asciiTheme="majorHAnsi" w:hAnsiTheme="majorHAnsi"/>
          <w:sz w:val="24"/>
          <w:szCs w:val="24"/>
        </w:rPr>
        <w:tab/>
        <w:t>Oxford University Teaching Excellence Award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Practice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1985-1990: Tenant at 3 Gray's Inn Place.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General Commercial Law practice, including banking, commercial fraud, corporate insolvency, sale of goods, agency, professional negligence and contractual disputes.   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1991-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Associate Member, 3 Verulam Buildings (formally 3 Gray’s Inn Place)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2008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Fellow of Gray’s Inn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2013</w:t>
      </w:r>
      <w:r w:rsidRPr="008863A6">
        <w:rPr>
          <w:rFonts w:asciiTheme="majorHAnsi" w:hAnsiTheme="majorHAnsi"/>
          <w:sz w:val="24"/>
          <w:szCs w:val="24"/>
        </w:rPr>
        <w:tab/>
      </w:r>
      <w:r w:rsidRPr="008863A6">
        <w:rPr>
          <w:rFonts w:asciiTheme="majorHAnsi" w:hAnsiTheme="majorHAnsi"/>
          <w:sz w:val="24"/>
          <w:szCs w:val="24"/>
        </w:rPr>
        <w:tab/>
        <w:t>Bencher of Gray’s Inn</w:t>
      </w:r>
    </w:p>
    <w:p w:rsidR="00CA4677" w:rsidRPr="008863A6" w:rsidRDefault="00CA4677" w:rsidP="00CA4677">
      <w:pPr>
        <w:pStyle w:val="PlainText"/>
        <w:rPr>
          <w:rFonts w:asciiTheme="majorHAnsi" w:hAnsiTheme="majorHAnsi"/>
          <w:sz w:val="24"/>
          <w:szCs w:val="24"/>
        </w:rPr>
      </w:pPr>
    </w:p>
    <w:p w:rsidR="00CA4677" w:rsidRPr="008863A6" w:rsidRDefault="00CA4677" w:rsidP="00CA4677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Although no longer </w:t>
      </w:r>
      <w:proofErr w:type="spellStart"/>
      <w:r w:rsidRPr="008863A6">
        <w:rPr>
          <w:rFonts w:asciiTheme="majorHAnsi" w:hAnsiTheme="majorHAnsi"/>
          <w:sz w:val="24"/>
          <w:szCs w:val="24"/>
        </w:rPr>
        <w:t>practising</w:t>
      </w:r>
      <w:proofErr w:type="spellEnd"/>
      <w:r w:rsidRPr="008863A6">
        <w:rPr>
          <w:rFonts w:asciiTheme="majorHAnsi" w:hAnsiTheme="majorHAnsi"/>
          <w:sz w:val="24"/>
          <w:szCs w:val="24"/>
        </w:rPr>
        <w:t>, I occasionally provide academic opinions in relation to litigation and arbitration.    Most recently (2015</w:t>
      </w:r>
      <w:r w:rsidR="00671259" w:rsidRPr="008863A6">
        <w:rPr>
          <w:rFonts w:asciiTheme="majorHAnsi" w:hAnsiTheme="majorHAnsi"/>
          <w:sz w:val="24"/>
          <w:szCs w:val="24"/>
        </w:rPr>
        <w:t>-2017</w:t>
      </w:r>
      <w:r w:rsidRPr="008863A6">
        <w:rPr>
          <w:rFonts w:asciiTheme="majorHAnsi" w:hAnsiTheme="majorHAnsi"/>
          <w:sz w:val="24"/>
          <w:szCs w:val="24"/>
        </w:rPr>
        <w:t>) I wrote expert reports on transaction avoidance in insolvency for the District Court of Reykjavik in 7 cases concerning Icelandic banks</w:t>
      </w:r>
      <w:r w:rsidR="00671259" w:rsidRPr="008863A6">
        <w:rPr>
          <w:rFonts w:asciiTheme="majorHAnsi" w:hAnsiTheme="majorHAnsi"/>
          <w:sz w:val="24"/>
          <w:szCs w:val="24"/>
        </w:rPr>
        <w:t xml:space="preserve">, and </w:t>
      </w:r>
      <w:r w:rsidR="00E47060" w:rsidRPr="008863A6">
        <w:rPr>
          <w:rFonts w:asciiTheme="majorHAnsi" w:hAnsiTheme="majorHAnsi"/>
          <w:sz w:val="24"/>
          <w:szCs w:val="24"/>
        </w:rPr>
        <w:t>in 2018 advised</w:t>
      </w:r>
      <w:r w:rsidR="00671259" w:rsidRPr="008863A6">
        <w:rPr>
          <w:rFonts w:asciiTheme="majorHAnsi" w:hAnsiTheme="majorHAnsi"/>
          <w:sz w:val="24"/>
          <w:szCs w:val="24"/>
        </w:rPr>
        <w:t xml:space="preserve"> the National Bank of Kazakhstan in relation to the holding of intermediated securities</w:t>
      </w:r>
      <w:r w:rsidRPr="008863A6">
        <w:rPr>
          <w:rFonts w:asciiTheme="majorHAnsi" w:hAnsiTheme="majorHAnsi"/>
          <w:sz w:val="24"/>
          <w:szCs w:val="24"/>
        </w:rPr>
        <w:t>.</w:t>
      </w:r>
    </w:p>
    <w:p w:rsidR="00CA4677" w:rsidRPr="008863A6" w:rsidRDefault="00CA4677" w:rsidP="001E239F">
      <w:pPr>
        <w:pStyle w:val="PlainText"/>
        <w:rPr>
          <w:rFonts w:asciiTheme="majorHAnsi" w:hAnsiTheme="majorHAnsi"/>
          <w:sz w:val="24"/>
          <w:szCs w:val="24"/>
        </w:rPr>
      </w:pPr>
    </w:p>
    <w:p w:rsidR="000E034A" w:rsidRDefault="000E034A" w:rsidP="001E0BC2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0E034A" w:rsidRDefault="000E034A" w:rsidP="001E0BC2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1E0BC2" w:rsidRPr="008863A6" w:rsidRDefault="001E0BC2" w:rsidP="001E0BC2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lastRenderedPageBreak/>
        <w:t>Publications</w:t>
      </w:r>
    </w:p>
    <w:p w:rsidR="001E0BC2" w:rsidRPr="008863A6" w:rsidRDefault="001E0BC2" w:rsidP="001E0BC2">
      <w:pPr>
        <w:pStyle w:val="PlainText"/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 w:cs="Arial"/>
          <w:vanish/>
          <w:sz w:val="24"/>
          <w:szCs w:val="24"/>
          <w:lang w:val="en-GB" w:eastAsia="en-GB"/>
        </w:rPr>
        <w:t>Bottom of Form</w:t>
      </w:r>
    </w:p>
    <w:p w:rsidR="00AB394B" w:rsidRPr="008863A6" w:rsidRDefault="007C54C4" w:rsidP="007C54C4">
      <w:pPr>
        <w:spacing w:after="240"/>
        <w:rPr>
          <w:rFonts w:asciiTheme="majorHAnsi" w:hAnsiTheme="majorHAnsi"/>
          <w:b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b/>
          <w:sz w:val="24"/>
          <w:szCs w:val="24"/>
          <w:lang w:val="en" w:eastAsia="en-GB"/>
        </w:rPr>
        <w:t>Books</w:t>
      </w:r>
    </w:p>
    <w:p w:rsidR="00E47060" w:rsidRPr="008863A6" w:rsidRDefault="00E47060" w:rsidP="007C54C4">
      <w:pPr>
        <w:spacing w:after="240"/>
        <w:rPr>
          <w:rFonts w:asciiTheme="majorHAnsi" w:hAnsiTheme="majorHAnsi"/>
          <w:sz w:val="24"/>
          <w:szCs w:val="24"/>
          <w:lang w:val="en"/>
        </w:rPr>
      </w:pPr>
      <w:r w:rsidRPr="008863A6">
        <w:rPr>
          <w:rFonts w:asciiTheme="majorHAnsi" w:hAnsiTheme="majorHAnsi"/>
          <w:sz w:val="24"/>
          <w:szCs w:val="24"/>
          <w:lang w:val="en"/>
        </w:rPr>
        <w:t>L Gullifer and J Payne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/>
        </w:rPr>
        <w:t xml:space="preserve">) </w:t>
      </w:r>
      <w:r w:rsidRPr="008863A6">
        <w:rPr>
          <w:rFonts w:asciiTheme="majorHAnsi" w:hAnsiTheme="majorHAnsi" w:cs="Arial"/>
          <w:i/>
          <w:sz w:val="24"/>
          <w:szCs w:val="24"/>
          <w:lang w:val="en" w:eastAsia="en-GB"/>
        </w:rPr>
        <w:t xml:space="preserve">Intermediation and beyond </w:t>
      </w:r>
      <w:r w:rsidRPr="008863A6">
        <w:rPr>
          <w:rFonts w:asciiTheme="majorHAnsi" w:hAnsiTheme="majorHAnsi" w:cs="Arial"/>
          <w:sz w:val="24"/>
          <w:szCs w:val="24"/>
          <w:lang w:val="en" w:eastAsia="en-GB"/>
        </w:rPr>
        <w:t>(forthcoming, delivered to Hart Publishing July 2018)</w:t>
      </w:r>
    </w:p>
    <w:p w:rsidR="005879C7" w:rsidRPr="008863A6" w:rsidRDefault="005879C7" w:rsidP="007C54C4">
      <w:pPr>
        <w:spacing w:after="240"/>
        <w:rPr>
          <w:rFonts w:asciiTheme="majorHAnsi" w:hAnsiTheme="majorHAnsi"/>
          <w:sz w:val="24"/>
          <w:szCs w:val="24"/>
          <w:lang w:val="en"/>
        </w:rPr>
      </w:pPr>
      <w:r w:rsidRPr="008863A6">
        <w:rPr>
          <w:rFonts w:asciiTheme="majorHAnsi" w:hAnsiTheme="majorHAnsi"/>
          <w:sz w:val="24"/>
          <w:szCs w:val="24"/>
          <w:lang w:val="en"/>
        </w:rPr>
        <w:t xml:space="preserve">H Beale, M Bridge, L Gullifer and E Lomnicka, </w:t>
      </w:r>
      <w:r w:rsidRPr="008863A6">
        <w:rPr>
          <w:rStyle w:val="Emphasis"/>
          <w:rFonts w:asciiTheme="majorHAnsi" w:hAnsiTheme="majorHAnsi"/>
          <w:sz w:val="24"/>
          <w:szCs w:val="24"/>
          <w:lang w:val="en"/>
        </w:rPr>
        <w:t>The Law of Security and Title Financing</w:t>
      </w:r>
      <w:r w:rsidRPr="008863A6">
        <w:rPr>
          <w:rFonts w:asciiTheme="majorHAnsi" w:hAnsiTheme="majorHAnsi"/>
          <w:sz w:val="24"/>
          <w:szCs w:val="24"/>
          <w:lang w:val="en"/>
        </w:rPr>
        <w:t xml:space="preserve"> (3rd </w:t>
      </w:r>
      <w:proofErr w:type="spellStart"/>
      <w:r w:rsidRPr="008863A6">
        <w:rPr>
          <w:rFonts w:asciiTheme="majorHAnsi" w:hAnsiTheme="majorHAnsi"/>
          <w:sz w:val="24"/>
          <w:szCs w:val="24"/>
          <w:lang w:val="en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/>
        </w:rPr>
        <w:t xml:space="preserve"> Oxford University Press 2018)</w:t>
      </w:r>
    </w:p>
    <w:p w:rsidR="005879C7" w:rsidRPr="008863A6" w:rsidRDefault="005879C7" w:rsidP="007C54C4">
      <w:pPr>
        <w:spacing w:after="240"/>
        <w:rPr>
          <w:rFonts w:asciiTheme="majorHAnsi" w:hAnsiTheme="majorHAnsi"/>
          <w:sz w:val="24"/>
          <w:szCs w:val="24"/>
          <w:lang w:val="en"/>
        </w:rPr>
      </w:pPr>
      <w:r w:rsidRPr="008863A6">
        <w:rPr>
          <w:rFonts w:asciiTheme="majorHAnsi" w:hAnsiTheme="majorHAnsi"/>
          <w:sz w:val="24"/>
          <w:szCs w:val="24"/>
          <w:lang w:val="en"/>
        </w:rPr>
        <w:t>L Gullifer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/>
        </w:rPr>
        <w:t>ed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/>
        </w:rPr>
        <w:t xml:space="preserve">), </w:t>
      </w:r>
      <w:r w:rsidRPr="008863A6">
        <w:rPr>
          <w:rStyle w:val="Emphasis"/>
          <w:rFonts w:asciiTheme="majorHAnsi" w:hAnsiTheme="majorHAnsi"/>
          <w:sz w:val="24"/>
          <w:szCs w:val="24"/>
          <w:lang w:val="en"/>
        </w:rPr>
        <w:t>Goode and Gullifer on Legal Problems of Credit and Security</w:t>
      </w:r>
      <w:r w:rsidRPr="008863A6">
        <w:rPr>
          <w:rFonts w:asciiTheme="majorHAnsi" w:hAnsiTheme="majorHAnsi"/>
          <w:sz w:val="24"/>
          <w:szCs w:val="24"/>
          <w:lang w:val="en"/>
        </w:rPr>
        <w:t xml:space="preserve"> (6th </w:t>
      </w:r>
      <w:proofErr w:type="spellStart"/>
      <w:r w:rsidRPr="008863A6">
        <w:rPr>
          <w:rFonts w:asciiTheme="majorHAnsi" w:hAnsiTheme="majorHAnsi"/>
          <w:sz w:val="24"/>
          <w:szCs w:val="24"/>
          <w:lang w:val="en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/>
        </w:rPr>
        <w:t xml:space="preserve"> Thompson Reuters 2017)</w:t>
      </w:r>
    </w:p>
    <w:p w:rsidR="005879C7" w:rsidRPr="008863A6" w:rsidRDefault="005879C7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/>
        </w:rPr>
        <w:t xml:space="preserve">M Bridge, L Gullifer, K Low and G McMeel, </w:t>
      </w:r>
      <w:r w:rsidRPr="008863A6">
        <w:rPr>
          <w:rStyle w:val="Emphasis"/>
          <w:rFonts w:asciiTheme="majorHAnsi" w:hAnsiTheme="majorHAnsi"/>
          <w:sz w:val="24"/>
          <w:szCs w:val="24"/>
          <w:lang w:val="en"/>
        </w:rPr>
        <w:t>The Law of Personal Property</w:t>
      </w:r>
      <w:r w:rsidRPr="008863A6">
        <w:rPr>
          <w:rFonts w:asciiTheme="majorHAnsi" w:hAnsiTheme="majorHAnsi"/>
          <w:sz w:val="24"/>
          <w:szCs w:val="24"/>
          <w:lang w:val="en"/>
        </w:rPr>
        <w:t xml:space="preserve"> (2nd </w:t>
      </w:r>
      <w:proofErr w:type="spellStart"/>
      <w:r w:rsidRPr="008863A6">
        <w:rPr>
          <w:rFonts w:asciiTheme="majorHAnsi" w:hAnsiTheme="majorHAnsi"/>
          <w:sz w:val="24"/>
          <w:szCs w:val="24"/>
          <w:lang w:val="en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/>
        </w:rPr>
        <w:t xml:space="preserve"> Thompson Reuters 2017)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O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Akseli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and L Gullifer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Secured Transactions Law Reform: Principles, Policies and Practice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(Hart Publishing 2016)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 and J Payne,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 xml:space="preserve">Corporate Finance </w:t>
      </w:r>
      <w:proofErr w:type="gramStart"/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Law :</w:t>
      </w:r>
      <w:proofErr w:type="gramEnd"/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 xml:space="preserve"> Principles and Policy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(2nd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Hart Publishing 2015) (1</w:t>
      </w:r>
      <w:r w:rsidRPr="008863A6">
        <w:rPr>
          <w:rFonts w:asciiTheme="majorHAnsi" w:hAnsiTheme="majorHAnsi"/>
          <w:sz w:val="24"/>
          <w:szCs w:val="24"/>
          <w:vertAlign w:val="superscript"/>
          <w:lang w:val="en" w:eastAsia="en-GB"/>
        </w:rPr>
        <w:t>st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edition 2008)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 and Stefan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Voganauer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 xml:space="preserve">English and European Perspectives on Contract and Commercial law: Essays in </w:t>
      </w:r>
      <w:proofErr w:type="spellStart"/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honour</w:t>
      </w:r>
      <w:proofErr w:type="spellEnd"/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 xml:space="preserve"> of Hugh Beale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(Hart Publishing 2014)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P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Pichonnaz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and L Gullifer,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set-off in arbitration and commercial transactions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(Oxford University Press 2014)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 </w:t>
      </w:r>
      <w:r w:rsidR="005879C7" w:rsidRPr="008863A6">
        <w:rPr>
          <w:rFonts w:asciiTheme="majorHAnsi" w:hAnsiTheme="majorHAnsi"/>
          <w:sz w:val="24"/>
          <w:szCs w:val="24"/>
          <w:lang w:val="en" w:eastAsia="en-GB"/>
        </w:rPr>
        <w:t>(</w:t>
      </w:r>
      <w:proofErr w:type="spellStart"/>
      <w:proofErr w:type="gramStart"/>
      <w:r w:rsidR="005879C7"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proofErr w:type="gramEnd"/>
      <w:r w:rsidR="005879C7" w:rsidRPr="008863A6">
        <w:rPr>
          <w:rFonts w:asciiTheme="majorHAnsi" w:hAnsiTheme="majorHAnsi"/>
          <w:sz w:val="24"/>
          <w:szCs w:val="24"/>
          <w:lang w:val="en" w:eastAsia="en-GB"/>
        </w:rPr>
        <w:t>)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Goode on Legal Problems of Credit and Security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(5th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Sweet &amp; Maxwell 2013) </w:t>
      </w:r>
    </w:p>
    <w:p w:rsidR="007C54C4" w:rsidRPr="008863A6" w:rsidRDefault="007C54C4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M Bridge, L Gullifer, S Worthington and G McMeel, </w:t>
      </w:r>
      <w:proofErr w:type="gramStart"/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The</w:t>
      </w:r>
      <w:proofErr w:type="gramEnd"/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 xml:space="preserve"> Law of Personal Property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(Sweet &amp; Maxwell 2013)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H Beale, M Bridge, L Gullifer and E Lomnicka,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The Law of Security and Title Finance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(2nd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Oxford University Press 2012)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 and J Payne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Intermediated Securities: Legal Problems and Practical Issues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(Hart Publishing 2010)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W-G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Ringe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and P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Thery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Current Issues in European Financial and Insolvency Law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</w:t>
      </w:r>
      <w:r w:rsidR="00151F03" w:rsidRPr="008863A6">
        <w:rPr>
          <w:rFonts w:asciiTheme="majorHAnsi" w:hAnsiTheme="majorHAnsi"/>
          <w:sz w:val="24"/>
          <w:szCs w:val="24"/>
          <w:lang w:val="en" w:eastAsia="en-GB"/>
        </w:rPr>
        <w:t xml:space="preserve">Hart Publishing, 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2009) </w:t>
      </w:r>
    </w:p>
    <w:p w:rsidR="00944F91" w:rsidRPr="008863A6" w:rsidRDefault="00944F91" w:rsidP="00944F91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 xml:space="preserve">Goode on Legal Problems of Credit and Security 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>(4</w:t>
      </w:r>
      <w:r w:rsidRPr="008863A6">
        <w:rPr>
          <w:rFonts w:asciiTheme="majorHAnsi" w:hAnsiTheme="majorHAnsi"/>
          <w:sz w:val="24"/>
          <w:szCs w:val="24"/>
          <w:vertAlign w:val="superscript"/>
          <w:lang w:val="en" w:eastAsia="en-GB"/>
        </w:rPr>
        <w:t>th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edition, Sweet &amp; Maxwell, 2008)</w:t>
      </w:r>
    </w:p>
    <w:p w:rsidR="00944F91" w:rsidRPr="008863A6" w:rsidRDefault="00944F91" w:rsidP="00944F91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H Beale, M Bridge, L Gullifer and E Lomnicka,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The Law of Security and Title Finance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(1</w:t>
      </w:r>
      <w:r w:rsidRPr="008863A6">
        <w:rPr>
          <w:rFonts w:asciiTheme="majorHAnsi" w:hAnsiTheme="majorHAnsi"/>
          <w:sz w:val="24"/>
          <w:szCs w:val="24"/>
          <w:vertAlign w:val="superscript"/>
          <w:lang w:val="en" w:eastAsia="en-GB"/>
        </w:rPr>
        <w:t>st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Oxford University Press 2006) </w:t>
      </w:r>
    </w:p>
    <w:p w:rsidR="007C54C4" w:rsidRPr="008863A6" w:rsidRDefault="007C54C4" w:rsidP="001E0BC2">
      <w:pPr>
        <w:spacing w:after="240"/>
        <w:rPr>
          <w:rFonts w:asciiTheme="majorHAnsi" w:hAnsiTheme="majorHAnsi"/>
          <w:b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b/>
          <w:sz w:val="24"/>
          <w:szCs w:val="24"/>
          <w:lang w:val="en" w:eastAsia="en-GB"/>
        </w:rPr>
        <w:lastRenderedPageBreak/>
        <w:t>Articles</w:t>
      </w:r>
    </w:p>
    <w:p w:rsidR="00D83CBA" w:rsidRDefault="00D83CBA" w:rsidP="00D83CBA">
      <w:pPr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/>
          <w:sz w:val="24"/>
          <w:szCs w:val="24"/>
        </w:rPr>
        <w:t xml:space="preserve">L Gullifer </w:t>
      </w:r>
      <w:r w:rsidRPr="00D83CBA">
        <w:rPr>
          <w:rFonts w:asciiTheme="majorHAnsi" w:hAnsiTheme="majorHAnsi"/>
          <w:sz w:val="24"/>
          <w:szCs w:val="24"/>
        </w:rPr>
        <w:t xml:space="preserve">and J </w:t>
      </w:r>
      <w:proofErr w:type="spellStart"/>
      <w:r w:rsidRPr="00D83CBA">
        <w:rPr>
          <w:rFonts w:asciiTheme="majorHAnsi" w:hAnsiTheme="majorHAnsi"/>
          <w:sz w:val="24"/>
          <w:szCs w:val="24"/>
        </w:rPr>
        <w:t>Sarra</w:t>
      </w:r>
      <w:proofErr w:type="spellEnd"/>
      <w:r w:rsidRPr="00D83CBA">
        <w:rPr>
          <w:rFonts w:asciiTheme="majorHAnsi" w:hAnsiTheme="majorHAnsi"/>
          <w:sz w:val="24"/>
          <w:szCs w:val="24"/>
        </w:rPr>
        <w:t>, ‘</w:t>
      </w:r>
      <w:r w:rsidRPr="00D83CBA">
        <w:rPr>
          <w:rFonts w:asciiTheme="majorHAnsi" w:hAnsiTheme="majorHAnsi" w:cstheme="majorHAnsi"/>
          <w:sz w:val="24"/>
          <w:szCs w:val="24"/>
          <w:lang w:val="en-CA"/>
        </w:rPr>
        <w:t>Crypto-claimants and Bitcoin Bankruptcy: Challenges for Recognition and Realisation’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 International Insolvency Review (forthcoming)</w:t>
      </w:r>
    </w:p>
    <w:p w:rsidR="00D83CBA" w:rsidRPr="00D83CBA" w:rsidRDefault="00D83CBA" w:rsidP="00D83CBA">
      <w:pPr>
        <w:rPr>
          <w:rFonts w:asciiTheme="majorHAnsi" w:hAnsiTheme="majorHAnsi"/>
          <w:sz w:val="24"/>
          <w:szCs w:val="24"/>
        </w:rPr>
      </w:pPr>
    </w:p>
    <w:p w:rsidR="0008432B" w:rsidRPr="00D83CBA" w:rsidRDefault="0008432B" w:rsidP="007C54C4">
      <w:pPr>
        <w:spacing w:after="240"/>
        <w:rPr>
          <w:rFonts w:asciiTheme="majorHAnsi" w:hAnsiTheme="majorHAnsi"/>
          <w:sz w:val="24"/>
          <w:szCs w:val="24"/>
          <w:lang w:val="en"/>
        </w:rPr>
      </w:pPr>
      <w:r w:rsidRPr="00D83CBA">
        <w:rPr>
          <w:rFonts w:asciiTheme="majorHAnsi" w:hAnsiTheme="majorHAnsi"/>
          <w:sz w:val="24"/>
          <w:szCs w:val="24"/>
        </w:rPr>
        <w:t>L Gullifer, 'A comparison of the position of buyers under the Cape Town Convention, the three existing Protocols and the draft MAC Protocol.' (2018) Cape Town Convention Journal (forthcoming)</w:t>
      </w:r>
    </w:p>
    <w:p w:rsidR="005879C7" w:rsidRPr="00D83CBA" w:rsidRDefault="005879C7" w:rsidP="007C54C4">
      <w:pPr>
        <w:spacing w:after="240"/>
        <w:rPr>
          <w:rFonts w:asciiTheme="majorHAnsi" w:hAnsiTheme="majorHAnsi"/>
          <w:sz w:val="24"/>
          <w:szCs w:val="24"/>
          <w:lang w:val="en"/>
        </w:rPr>
      </w:pPr>
      <w:r w:rsidRPr="00D83CBA">
        <w:rPr>
          <w:rFonts w:asciiTheme="majorHAnsi" w:hAnsiTheme="majorHAnsi"/>
          <w:sz w:val="24"/>
          <w:szCs w:val="24"/>
          <w:lang w:val="en"/>
        </w:rPr>
        <w:t>L Gullifer and I Tirado, 'A global tug of war: a topography of micro-business financing' (2017) Law and Contemporary Problems</w:t>
      </w:r>
      <w:r w:rsidR="00405A10" w:rsidRPr="00D83CBA">
        <w:rPr>
          <w:rFonts w:asciiTheme="majorHAnsi" w:hAnsiTheme="majorHAnsi"/>
          <w:sz w:val="24"/>
          <w:szCs w:val="24"/>
          <w:lang w:val="en"/>
        </w:rPr>
        <w:t xml:space="preserve"> 109</w:t>
      </w:r>
    </w:p>
    <w:p w:rsidR="00405A10" w:rsidRPr="008863A6" w:rsidRDefault="005879C7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/>
        </w:rPr>
        <w:t xml:space="preserve">L Gullifer and I Tirado, 'Financing Micro-businesses and the UNCITRAL Model Law on Secured Transactions ' (2017) Uniform Law Review </w:t>
      </w:r>
      <w:r w:rsidR="00405A10" w:rsidRPr="008863A6">
        <w:rPr>
          <w:rFonts w:asciiTheme="majorHAnsi" w:hAnsiTheme="majorHAnsi"/>
          <w:sz w:val="24"/>
          <w:szCs w:val="24"/>
          <w:lang w:val="en"/>
        </w:rPr>
        <w:t>642</w:t>
      </w:r>
    </w:p>
    <w:p w:rsidR="00CA4677" w:rsidRPr="008863A6" w:rsidRDefault="00CA4677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/>
        </w:rPr>
        <w:t xml:space="preserve">'‘Sales’ on Retention of Title terms: is the English law analysis broken?' (2017) </w:t>
      </w:r>
      <w:r w:rsidR="005879C7" w:rsidRPr="008863A6">
        <w:rPr>
          <w:rFonts w:asciiTheme="majorHAnsi" w:hAnsiTheme="majorHAnsi"/>
          <w:sz w:val="24"/>
          <w:szCs w:val="24"/>
          <w:lang w:val="en"/>
        </w:rPr>
        <w:t xml:space="preserve">133 </w:t>
      </w:r>
      <w:r w:rsidRPr="008863A6">
        <w:rPr>
          <w:rFonts w:asciiTheme="majorHAnsi" w:hAnsiTheme="majorHAnsi"/>
          <w:sz w:val="24"/>
          <w:szCs w:val="24"/>
          <w:lang w:val="en"/>
        </w:rPr>
        <w:t>Law Quarterly Review</w:t>
      </w:r>
      <w:r w:rsidR="00FB7C1F" w:rsidRPr="008863A6">
        <w:rPr>
          <w:rFonts w:asciiTheme="majorHAnsi" w:hAnsiTheme="majorHAnsi"/>
          <w:sz w:val="24"/>
          <w:szCs w:val="24"/>
          <w:lang w:val="en"/>
        </w:rPr>
        <w:t xml:space="preserve"> </w:t>
      </w:r>
      <w:r w:rsidR="005879C7" w:rsidRPr="008863A6">
        <w:rPr>
          <w:rFonts w:asciiTheme="majorHAnsi" w:hAnsiTheme="majorHAnsi"/>
          <w:sz w:val="24"/>
          <w:szCs w:val="24"/>
          <w:lang w:val="en"/>
        </w:rPr>
        <w:t>244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H Beale and S Paterson, '</w:t>
      </w:r>
      <w:r w:rsidRPr="008863A6">
        <w:rPr>
          <w:rFonts w:asciiTheme="majorHAnsi" w:hAnsiTheme="majorHAnsi"/>
          <w:bCs/>
          <w:sz w:val="24"/>
          <w:szCs w:val="24"/>
          <w:lang w:val="en" w:eastAsia="en-GB"/>
        </w:rPr>
        <w:t>A Case for Interfering with Freedom of Contract? An Empirically-Informed Study of Bans on Assignment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>' (2015) SSRN, [2016] Journal of Business Law 203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H Beale, L Gullifer and S Paterson, 'Ban on Assignment Clauses: Views from the Coalface' (2015) 30 Butterworths Journal of International Banking and Financial Law 463 </w:t>
      </w:r>
    </w:p>
    <w:p w:rsidR="007C54C4" w:rsidRPr="008863A6" w:rsidRDefault="007C54C4" w:rsidP="007C54C4">
      <w:pPr>
        <w:spacing w:after="24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</w:t>
      </w:r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Should</w:t>
      </w:r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clauses prohibiting assignment be overridden by statute?' </w:t>
      </w:r>
      <w:r w:rsidRPr="008863A6">
        <w:rPr>
          <w:rFonts w:asciiTheme="majorHAnsi" w:hAnsiTheme="majorHAnsi"/>
          <w:sz w:val="24"/>
          <w:szCs w:val="24"/>
        </w:rPr>
        <w:t xml:space="preserve">(2015) 4 Penn State Journal of Law and International Affairs 47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</w:t>
      </w:r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The</w:t>
      </w:r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interpretation of retention of title clauses: Wilson v Holt generates some difficulties. '(2014) Lloyds Maritime and Commercial Law Quarterly 564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 and S Hurst, 'Bills of Sale: Ripe for Reform?' (2013) 11 Butterworths Journal of International Banking and Financial Law 685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</w:t>
      </w:r>
      <w:r w:rsidRPr="008863A6">
        <w:rPr>
          <w:rFonts w:asciiTheme="majorHAnsi" w:hAnsiTheme="majorHAnsi"/>
          <w:bCs/>
          <w:sz w:val="24"/>
          <w:szCs w:val="24"/>
          <w:lang w:val="en" w:eastAsia="en-GB"/>
        </w:rPr>
        <w:t>What should we do about Financial Collateral?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>' (2012) Current Legal Problems read more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'Personal Property Security Law: Where Next? Part 2 ' (2012) Butterworths Journal of International Banking and Financial Law 541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'Personal Property Security Law: Where Next? (Part 1)' (2012) Butterworths Journal of International Banking and Financial Law 465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'The reform of the English law of secured transactions' (2012) 213 Droit </w:t>
      </w:r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et</w:t>
      </w:r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patrimoine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(Kluwer) 72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 and V Barns-Graham, 'The Australian PPS reforms: what will the new system look like?' (2010) 4 Law and Financial Markets Review 394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lastRenderedPageBreak/>
        <w:t xml:space="preserve">L Gullifer, 'The reforms of the Enterprise Act 2002 and the Floating Charge as a security device' (2008) 46 Canadian Business Law Journal 399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'The Law Commission’s Proposals: a critique' (2004) 15 E</w:t>
      </w:r>
      <w:r w:rsidR="00AB394B" w:rsidRPr="008863A6">
        <w:rPr>
          <w:rFonts w:asciiTheme="majorHAnsi" w:hAnsiTheme="majorHAnsi"/>
          <w:sz w:val="24"/>
          <w:szCs w:val="24"/>
          <w:lang w:val="en" w:eastAsia="en-GB"/>
        </w:rPr>
        <w:t>uropean Business Law Review 81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'Will the Law Commission Sink the Floating Charge?' (2003) Lloyds Maritime and Commercial Law Quarterly 125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'The Cosslett Saga: Implications for the law of security over personal property' (2002) 20 Companies and Securities Law Journal 177 </w:t>
      </w:r>
    </w:p>
    <w:p w:rsidR="0043333C" w:rsidRPr="008863A6" w:rsidRDefault="0043333C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'One Cause </w:t>
      </w:r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After</w:t>
      </w:r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Another' (2001) 117 Law Quarterly Review 403 [Case Note]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'Constructive possession after the Sale of Goods (Amendment) Act 1995 ' (1999) Lloyds Maritime and Commercial Law Quarterly 93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‘</w:t>
      </w:r>
      <w:proofErr w:type="gramStart"/>
      <w:r w:rsidRPr="008863A6">
        <w:rPr>
          <w:rFonts w:asciiTheme="majorHAnsi" w:hAnsiTheme="majorHAnsi"/>
          <w:sz w:val="24"/>
          <w:szCs w:val="24"/>
        </w:rPr>
        <w:t>Idiosyncratic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buyers: who takes the risk?’  (1997) 16 Tr. Law 29</w:t>
      </w:r>
    </w:p>
    <w:p w:rsidR="0043333C" w:rsidRPr="008863A6" w:rsidRDefault="0043333C" w:rsidP="0043333C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L. Gullifer, review of </w:t>
      </w:r>
      <w:proofErr w:type="spellStart"/>
      <w:r w:rsidRPr="008863A6">
        <w:rPr>
          <w:rFonts w:asciiTheme="majorHAnsi" w:hAnsiTheme="majorHAnsi"/>
          <w:sz w:val="24"/>
          <w:szCs w:val="24"/>
        </w:rPr>
        <w:t>Atiyah’s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</w:t>
      </w:r>
      <w:r w:rsidRPr="008863A6">
        <w:rPr>
          <w:rFonts w:asciiTheme="majorHAnsi" w:hAnsiTheme="majorHAnsi"/>
          <w:i/>
          <w:sz w:val="24"/>
          <w:szCs w:val="24"/>
        </w:rPr>
        <w:t xml:space="preserve">Sale of Goods </w:t>
      </w:r>
      <w:r w:rsidRPr="008863A6">
        <w:rPr>
          <w:rFonts w:asciiTheme="majorHAnsi" w:hAnsiTheme="majorHAnsi"/>
          <w:sz w:val="24"/>
          <w:szCs w:val="24"/>
        </w:rPr>
        <w:t>(9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863A6">
        <w:rPr>
          <w:rFonts w:asciiTheme="majorHAnsi" w:hAnsiTheme="majorHAnsi"/>
          <w:sz w:val="24"/>
          <w:szCs w:val="24"/>
        </w:rPr>
        <w:t>ed</w:t>
      </w:r>
      <w:proofErr w:type="gramEnd"/>
      <w:r w:rsidRPr="008863A6">
        <w:rPr>
          <w:rFonts w:asciiTheme="majorHAnsi" w:hAnsiTheme="majorHAnsi"/>
          <w:sz w:val="24"/>
          <w:szCs w:val="24"/>
        </w:rPr>
        <w:t>.) [1996] LMCLQ 298</w:t>
      </w:r>
    </w:p>
    <w:p w:rsidR="0043333C" w:rsidRPr="008863A6" w:rsidRDefault="0043333C" w:rsidP="0043333C">
      <w:pPr>
        <w:pStyle w:val="PlainText"/>
        <w:rPr>
          <w:rFonts w:asciiTheme="majorHAnsi" w:hAnsiTheme="majorHAnsi"/>
          <w:b/>
          <w:sz w:val="24"/>
          <w:szCs w:val="24"/>
        </w:rPr>
      </w:pPr>
    </w:p>
    <w:p w:rsidR="0043333C" w:rsidRPr="008863A6" w:rsidRDefault="0043333C" w:rsidP="0043333C">
      <w:pPr>
        <w:pStyle w:val="PlainText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L. Gullifer, Recovery of misappropriated assets: orthodoxy re-established? [1995] LMCLQ 446</w:t>
      </w:r>
    </w:p>
    <w:p w:rsidR="0043333C" w:rsidRPr="008863A6" w:rsidRDefault="0043333C" w:rsidP="0043333C">
      <w:pPr>
        <w:pStyle w:val="PlainText"/>
        <w:rPr>
          <w:rFonts w:asciiTheme="majorHAnsi" w:hAnsiTheme="majorHAnsi"/>
          <w:sz w:val="24"/>
          <w:szCs w:val="24"/>
        </w:rPr>
      </w:pPr>
    </w:p>
    <w:p w:rsidR="007C54C4" w:rsidRPr="008863A6" w:rsidRDefault="007C54C4" w:rsidP="001E0BC2">
      <w:pPr>
        <w:spacing w:after="240"/>
        <w:rPr>
          <w:rFonts w:asciiTheme="majorHAnsi" w:hAnsiTheme="majorHAnsi"/>
          <w:b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b/>
          <w:sz w:val="24"/>
          <w:szCs w:val="24"/>
          <w:lang w:val="en" w:eastAsia="en-GB"/>
        </w:rPr>
        <w:t>Book chapters</w:t>
      </w:r>
    </w:p>
    <w:p w:rsidR="001E0BC2" w:rsidRPr="008863A6" w:rsidRDefault="001E0BC2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'Flawed Assets' in G Virgo, S Worthington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Commercial Remedies: Resolving Controversies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</w:t>
      </w:r>
      <w:r w:rsidR="005879C7" w:rsidRPr="008863A6">
        <w:rPr>
          <w:rFonts w:asciiTheme="majorHAnsi" w:hAnsiTheme="majorHAnsi"/>
          <w:sz w:val="24"/>
          <w:szCs w:val="24"/>
          <w:lang w:val="en" w:eastAsia="en-GB"/>
        </w:rPr>
        <w:t>(Cambridge University Press 2017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 </w:t>
      </w:r>
    </w:p>
    <w:p w:rsidR="00505A45" w:rsidRPr="008863A6" w:rsidRDefault="00505A45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‘Secured Transactions’ (jointly with M Raczynska) and ‘The Reform of the English Law of Secured Transactions’ </w:t>
      </w:r>
      <w:r w:rsidR="007D423F" w:rsidRPr="008863A6">
        <w:rPr>
          <w:rFonts w:asciiTheme="majorHAnsi" w:hAnsiTheme="majorHAnsi"/>
          <w:sz w:val="24"/>
          <w:szCs w:val="24"/>
          <w:lang w:val="en" w:eastAsia="en-GB"/>
        </w:rPr>
        <w:t xml:space="preserve"> </w:t>
      </w:r>
      <w:r w:rsidR="00A2153D" w:rsidRPr="008863A6">
        <w:rPr>
          <w:rFonts w:asciiTheme="majorHAnsi" w:hAnsiTheme="majorHAnsi"/>
          <w:sz w:val="24"/>
          <w:szCs w:val="24"/>
          <w:lang w:val="en" w:eastAsia="en-GB"/>
        </w:rPr>
        <w:t xml:space="preserve">in </w:t>
      </w:r>
      <w:r w:rsidR="00A2153D" w:rsidRPr="008863A6">
        <w:rPr>
          <w:rStyle w:val="Emphasis"/>
          <w:rFonts w:asciiTheme="majorHAnsi" w:hAnsiTheme="majorHAnsi"/>
          <w:sz w:val="24"/>
          <w:szCs w:val="24"/>
        </w:rPr>
        <w:t xml:space="preserve">McKnight, Paterson and </w:t>
      </w:r>
      <w:proofErr w:type="spellStart"/>
      <w:r w:rsidR="00A2153D" w:rsidRPr="008863A6">
        <w:rPr>
          <w:rStyle w:val="Emphasis"/>
          <w:rFonts w:asciiTheme="majorHAnsi" w:hAnsiTheme="majorHAnsi"/>
          <w:sz w:val="24"/>
          <w:szCs w:val="24"/>
        </w:rPr>
        <w:t>Zakrzewski</w:t>
      </w:r>
      <w:proofErr w:type="spellEnd"/>
      <w:r w:rsidR="00A2153D" w:rsidRPr="008863A6">
        <w:rPr>
          <w:rStyle w:val="Emphasis"/>
          <w:rFonts w:asciiTheme="majorHAnsi" w:hAnsiTheme="majorHAnsi"/>
          <w:sz w:val="24"/>
          <w:szCs w:val="24"/>
        </w:rPr>
        <w:t xml:space="preserve"> on the Law of International Finance</w:t>
      </w:r>
      <w:r w:rsidR="00A2153D" w:rsidRPr="008863A6">
        <w:rPr>
          <w:rFonts w:asciiTheme="majorHAnsi" w:hAnsiTheme="majorHAnsi" w:cs="Arial"/>
          <w:sz w:val="24"/>
          <w:szCs w:val="24"/>
        </w:rPr>
        <w:t xml:space="preserve"> </w:t>
      </w:r>
      <w:r w:rsidR="000F23C6" w:rsidRPr="008863A6">
        <w:rPr>
          <w:rFonts w:asciiTheme="majorHAnsi" w:hAnsiTheme="majorHAnsi"/>
          <w:sz w:val="24"/>
          <w:szCs w:val="24"/>
          <w:lang w:val="en" w:eastAsia="en-GB"/>
        </w:rPr>
        <w:t>(2</w:t>
      </w:r>
      <w:r w:rsidR="000F23C6" w:rsidRPr="008863A6">
        <w:rPr>
          <w:rFonts w:asciiTheme="majorHAnsi" w:hAnsiTheme="majorHAnsi"/>
          <w:sz w:val="24"/>
          <w:szCs w:val="24"/>
          <w:vertAlign w:val="superscript"/>
          <w:lang w:val="en" w:eastAsia="en-GB"/>
        </w:rPr>
        <w:t>nd</w:t>
      </w:r>
      <w:r w:rsidR="000F23C6" w:rsidRPr="008863A6">
        <w:rPr>
          <w:rFonts w:asciiTheme="majorHAnsi" w:hAnsiTheme="majorHAnsi"/>
          <w:sz w:val="24"/>
          <w:szCs w:val="24"/>
          <w:lang w:val="en" w:eastAsia="en-GB"/>
        </w:rPr>
        <w:t xml:space="preserve"> </w:t>
      </w:r>
      <w:proofErr w:type="spellStart"/>
      <w:r w:rsidR="000F23C6" w:rsidRPr="008863A6">
        <w:rPr>
          <w:rFonts w:asciiTheme="majorHAnsi" w:hAnsiTheme="majorHAnsi"/>
          <w:sz w:val="24"/>
          <w:szCs w:val="24"/>
          <w:lang w:val="en" w:eastAsia="en-GB"/>
        </w:rPr>
        <w:t>edn</w:t>
      </w:r>
      <w:proofErr w:type="spellEnd"/>
      <w:r w:rsidR="00A2153D" w:rsidRPr="008863A6">
        <w:rPr>
          <w:rFonts w:asciiTheme="majorHAnsi" w:hAnsiTheme="majorHAnsi"/>
          <w:sz w:val="24"/>
          <w:szCs w:val="24"/>
          <w:lang w:val="en" w:eastAsia="en-GB"/>
        </w:rPr>
        <w:t>, 2017 OUP</w:t>
      </w:r>
      <w:r w:rsidR="000F23C6" w:rsidRPr="008863A6">
        <w:rPr>
          <w:rFonts w:asciiTheme="majorHAnsi" w:hAnsiTheme="majorHAnsi"/>
          <w:sz w:val="24"/>
          <w:szCs w:val="24"/>
          <w:lang w:val="en" w:eastAsia="en-GB"/>
        </w:rPr>
        <w:t>)</w:t>
      </w:r>
      <w:r w:rsidR="007D423F" w:rsidRPr="008863A6">
        <w:rPr>
          <w:rFonts w:asciiTheme="majorHAnsi" w:hAnsiTheme="majorHAnsi"/>
          <w:sz w:val="24"/>
          <w:szCs w:val="24"/>
          <w:lang w:val="en" w:eastAsia="en-GB"/>
        </w:rPr>
        <w:t>.</w:t>
      </w:r>
    </w:p>
    <w:p w:rsidR="000A6221" w:rsidRPr="008863A6" w:rsidRDefault="000A6221" w:rsidP="001E0BC2">
      <w:pPr>
        <w:spacing w:after="240"/>
        <w:rPr>
          <w:rFonts w:asciiTheme="majorHAnsi" w:hAnsiTheme="majorHAnsi" w:cs="Arial"/>
          <w:sz w:val="24"/>
          <w:szCs w:val="24"/>
        </w:rPr>
      </w:pPr>
      <w:r w:rsidRPr="008863A6">
        <w:rPr>
          <w:rFonts w:asciiTheme="majorHAnsi" w:hAnsiTheme="majorHAnsi" w:cs="Arial"/>
          <w:sz w:val="24"/>
          <w:szCs w:val="24"/>
        </w:rPr>
        <w:t xml:space="preserve">'Should Clauses Prohibiting Assignment be Overridden by Statute?' in </w:t>
      </w:r>
      <w:proofErr w:type="spellStart"/>
      <w:r w:rsidRPr="008863A6">
        <w:rPr>
          <w:rFonts w:asciiTheme="majorHAnsi" w:hAnsiTheme="majorHAnsi" w:cs="Arial"/>
          <w:sz w:val="24"/>
          <w:szCs w:val="24"/>
        </w:rPr>
        <w:t>Orkun</w:t>
      </w:r>
      <w:proofErr w:type="spellEnd"/>
      <w:r w:rsidRPr="008863A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863A6">
        <w:rPr>
          <w:rFonts w:asciiTheme="majorHAnsi" w:hAnsiTheme="majorHAnsi" w:cs="Arial"/>
          <w:sz w:val="24"/>
          <w:szCs w:val="24"/>
        </w:rPr>
        <w:t>Akseli</w:t>
      </w:r>
      <w:proofErr w:type="spellEnd"/>
      <w:r w:rsidRPr="008863A6">
        <w:rPr>
          <w:rFonts w:asciiTheme="majorHAnsi" w:hAnsiTheme="majorHAnsi" w:cs="Arial"/>
          <w:sz w:val="24"/>
          <w:szCs w:val="24"/>
        </w:rPr>
        <w:t xml:space="preserve"> and Louise Gullifer (</w:t>
      </w:r>
      <w:proofErr w:type="spellStart"/>
      <w:proofErr w:type="gramStart"/>
      <w:r w:rsidRPr="008863A6">
        <w:rPr>
          <w:rFonts w:asciiTheme="majorHAnsi" w:hAnsiTheme="majorHAnsi" w:cs="Arial"/>
          <w:sz w:val="24"/>
          <w:szCs w:val="24"/>
        </w:rPr>
        <w:t>eds</w:t>
      </w:r>
      <w:proofErr w:type="spellEnd"/>
      <w:proofErr w:type="gramEnd"/>
      <w:r w:rsidRPr="008863A6">
        <w:rPr>
          <w:rFonts w:asciiTheme="majorHAnsi" w:hAnsiTheme="majorHAnsi" w:cs="Arial"/>
          <w:sz w:val="24"/>
          <w:szCs w:val="24"/>
        </w:rPr>
        <w:t xml:space="preserve">), </w:t>
      </w:r>
      <w:r w:rsidRPr="008863A6">
        <w:rPr>
          <w:rStyle w:val="Emphasis"/>
          <w:rFonts w:asciiTheme="majorHAnsi" w:hAnsiTheme="majorHAnsi"/>
          <w:sz w:val="24"/>
          <w:szCs w:val="24"/>
        </w:rPr>
        <w:t>Secured Transactions Law Reform: Principles, Policies and Practice</w:t>
      </w:r>
      <w:r w:rsidRPr="008863A6">
        <w:rPr>
          <w:rFonts w:asciiTheme="majorHAnsi" w:hAnsiTheme="majorHAnsi" w:cs="Arial"/>
          <w:sz w:val="24"/>
          <w:szCs w:val="24"/>
        </w:rPr>
        <w:t xml:space="preserve"> (2016)</w:t>
      </w:r>
    </w:p>
    <w:p w:rsidR="000A6221" w:rsidRPr="008863A6" w:rsidRDefault="000A6221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 w:cs="Arial"/>
          <w:sz w:val="24"/>
          <w:szCs w:val="24"/>
        </w:rPr>
        <w:t xml:space="preserve">L Gullifer and M Raczynska, 'The English Law of Personal Property Security: Under-reformed?' in </w:t>
      </w:r>
      <w:proofErr w:type="spellStart"/>
      <w:r w:rsidRPr="008863A6">
        <w:rPr>
          <w:rFonts w:asciiTheme="majorHAnsi" w:hAnsiTheme="majorHAnsi" w:cs="Arial"/>
          <w:sz w:val="24"/>
          <w:szCs w:val="24"/>
        </w:rPr>
        <w:t>Orkun</w:t>
      </w:r>
      <w:proofErr w:type="spellEnd"/>
      <w:r w:rsidRPr="008863A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863A6">
        <w:rPr>
          <w:rFonts w:asciiTheme="majorHAnsi" w:hAnsiTheme="majorHAnsi" w:cs="Arial"/>
          <w:sz w:val="24"/>
          <w:szCs w:val="24"/>
        </w:rPr>
        <w:t>Akseli</w:t>
      </w:r>
      <w:proofErr w:type="spellEnd"/>
      <w:r w:rsidRPr="008863A6">
        <w:rPr>
          <w:rFonts w:asciiTheme="majorHAnsi" w:hAnsiTheme="majorHAnsi" w:cs="Arial"/>
          <w:sz w:val="24"/>
          <w:szCs w:val="24"/>
        </w:rPr>
        <w:t xml:space="preserve"> and Louise Gullifer (</w:t>
      </w:r>
      <w:proofErr w:type="spellStart"/>
      <w:proofErr w:type="gramStart"/>
      <w:r w:rsidRPr="008863A6">
        <w:rPr>
          <w:rFonts w:asciiTheme="majorHAnsi" w:hAnsiTheme="majorHAnsi" w:cs="Arial"/>
          <w:sz w:val="24"/>
          <w:szCs w:val="24"/>
        </w:rPr>
        <w:t>eds</w:t>
      </w:r>
      <w:proofErr w:type="spellEnd"/>
      <w:proofErr w:type="gramEnd"/>
      <w:r w:rsidRPr="008863A6">
        <w:rPr>
          <w:rFonts w:asciiTheme="majorHAnsi" w:hAnsiTheme="majorHAnsi" w:cs="Arial"/>
          <w:sz w:val="24"/>
          <w:szCs w:val="24"/>
        </w:rPr>
        <w:t xml:space="preserve">), </w:t>
      </w:r>
      <w:r w:rsidRPr="008863A6">
        <w:rPr>
          <w:rStyle w:val="Emphasis"/>
          <w:rFonts w:asciiTheme="majorHAnsi" w:hAnsiTheme="majorHAnsi"/>
          <w:sz w:val="24"/>
          <w:szCs w:val="24"/>
        </w:rPr>
        <w:t>Secured Transactions Law Reform: Principles, Policies and Practice</w:t>
      </w:r>
      <w:r w:rsidRPr="008863A6">
        <w:rPr>
          <w:rFonts w:asciiTheme="majorHAnsi" w:hAnsiTheme="majorHAnsi" w:cs="Arial"/>
          <w:sz w:val="24"/>
          <w:szCs w:val="24"/>
        </w:rPr>
        <w:t xml:space="preserve"> (Hart Publishing 2016)</w:t>
      </w:r>
    </w:p>
    <w:p w:rsidR="001E0BC2" w:rsidRPr="008863A6" w:rsidRDefault="001E0BC2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C Cook, H Anderson and L Gullifer, 'National Report for England' in N Vermunt, D Faber, J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Kilbourn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>, T Richter, I Tirado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Ranking and Priority of Creditors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(Oxford University Press 2016) </w:t>
      </w:r>
    </w:p>
    <w:p w:rsidR="001E0BC2" w:rsidRPr="008863A6" w:rsidRDefault="001E0BC2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'Piecemeal reform: is it the answer?' in Frederique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Dahan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Secured Lending in Commercial Transactions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(Elgar Publishing 2015) </w:t>
      </w:r>
    </w:p>
    <w:p w:rsidR="001E0BC2" w:rsidRPr="008863A6" w:rsidRDefault="001E0BC2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lastRenderedPageBreak/>
        <w:t>L Gullifer, 'Compulsory Central Clearing of OTC Derivatives: The Changing Face of the Provision of Collateral ' in L Gullifer and S Vogenauer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English and European Perspectives in Contract and Commercial Law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(Hart Publishing 2014)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H Anderson, C Cooke and L Gullifer, 'National Report for England ' in D Faber, N Vermunt, J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Kilborn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>, K Van de Linde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Treatment of Contracts in Insolvency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(Oxford University Press 2013)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'Exceptions to the Nemo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Dat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Rule in Relation to Goods and The Law Commission's Proposals' in J de Lacy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Personal Property Security Law Reform in the UK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(Routledge Cavendish 2009)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'Mixtures, Attornment and Reservation of title ' in Palmer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Bailment</w:t>
      </w:r>
      <w:r w:rsidR="00151F03" w:rsidRPr="008863A6">
        <w:rPr>
          <w:rFonts w:asciiTheme="majorHAnsi" w:hAnsiTheme="majorHAnsi"/>
          <w:sz w:val="24"/>
          <w:szCs w:val="24"/>
          <w:lang w:val="en" w:eastAsia="en-GB"/>
        </w:rPr>
        <w:t xml:space="preserve"> (2009)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'Protection of Investors in Intermediated Securities' in J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Armour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and J Payne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Rationality in Company Law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</w:t>
      </w:r>
      <w:r w:rsidR="00151F03" w:rsidRPr="008863A6">
        <w:rPr>
          <w:rFonts w:asciiTheme="majorHAnsi" w:hAnsiTheme="majorHAnsi"/>
          <w:sz w:val="24"/>
          <w:szCs w:val="24"/>
          <w:lang w:val="en" w:eastAsia="en-GB"/>
        </w:rPr>
        <w:t xml:space="preserve">Hart Publishing 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2009)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'Retention of title clauses: a question of balance' in Andrew Burrows and Edwin Peel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Contract Terms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(OUP 2007)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 and J Payne, 'The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Characterisation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of Fixed and Floating Charges' in J. Payne, J. Getzler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Company Charges Spectrum and Beyond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(OUP 2007)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'Quasi-security interests: functionalism and the incidents of security' in 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Iwan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Davies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Issues in International Commercial Law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</w:t>
      </w:r>
      <w:proofErr w:type="spellStart"/>
      <w:r w:rsidRPr="008863A6">
        <w:rPr>
          <w:rFonts w:asciiTheme="majorHAnsi" w:hAnsiTheme="majorHAnsi"/>
          <w:sz w:val="24"/>
          <w:szCs w:val="24"/>
          <w:lang w:val="en" w:eastAsia="en-GB"/>
        </w:rPr>
        <w:t>Ashgate</w:t>
      </w:r>
      <w:proofErr w:type="spell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2005)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'Agreed Remedies' in A Burrows and E Peel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eds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Commercial Remedies: Current Issues and Problems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(Oxford University Press 2003) </w:t>
      </w:r>
    </w:p>
    <w:p w:rsidR="0043333C" w:rsidRPr="008863A6" w:rsidRDefault="0043333C" w:rsidP="0043333C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>L Gullifer, 'Risk. Frustration and Mistake' in E. McKendrick (</w:t>
      </w: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" w:eastAsia="en-GB"/>
        </w:rPr>
        <w:t>ed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), </w:t>
      </w:r>
      <w:r w:rsidRPr="008863A6">
        <w:rPr>
          <w:rFonts w:asciiTheme="majorHAnsi" w:hAnsiTheme="majorHAnsi"/>
          <w:i/>
          <w:iCs/>
          <w:sz w:val="24"/>
          <w:szCs w:val="24"/>
          <w:lang w:val="en" w:eastAsia="en-GB"/>
        </w:rPr>
        <w:t>Sale of Goods</w:t>
      </w: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 (2000) </w:t>
      </w:r>
    </w:p>
    <w:p w:rsidR="0043333C" w:rsidRPr="008863A6" w:rsidRDefault="0043333C" w:rsidP="001E0BC2">
      <w:pPr>
        <w:spacing w:after="240"/>
        <w:rPr>
          <w:rFonts w:asciiTheme="majorHAnsi" w:hAnsiTheme="majorHAnsi"/>
          <w:b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b/>
          <w:sz w:val="24"/>
          <w:szCs w:val="24"/>
          <w:lang w:val="en" w:eastAsia="en-GB"/>
        </w:rPr>
        <w:t>Book reviews</w:t>
      </w:r>
    </w:p>
    <w:p w:rsidR="001E0BC2" w:rsidRPr="008863A6" w:rsidRDefault="001E0BC2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'Review of Australian Personal Property Securities Law, Antony Duggan and David Brown' (2014) 29 Butterworths Journal of International Banking and Financial Law </w:t>
      </w:r>
    </w:p>
    <w:p w:rsidR="001E0BC2" w:rsidRPr="008863A6" w:rsidRDefault="001E0BC2" w:rsidP="001E0BC2">
      <w:pPr>
        <w:spacing w:after="240"/>
        <w:rPr>
          <w:rFonts w:asciiTheme="majorHAnsi" w:hAnsiTheme="majorHAnsi"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sz w:val="24"/>
          <w:szCs w:val="24"/>
          <w:lang w:val="en" w:eastAsia="en-GB"/>
        </w:rPr>
        <w:t xml:space="preserve">L Gullifer, 'Review of Intermediated Securities: the Impact of the Geneva Securities Convention and the Future European Legislation' (2014) 51 Common Market Law Review </w:t>
      </w:r>
    </w:p>
    <w:p w:rsidR="00AB394B" w:rsidRPr="008863A6" w:rsidRDefault="00AB394B" w:rsidP="001E0BC2">
      <w:pPr>
        <w:spacing w:after="240"/>
        <w:rPr>
          <w:rFonts w:asciiTheme="majorHAnsi" w:hAnsiTheme="majorHAnsi"/>
          <w:b/>
          <w:sz w:val="24"/>
          <w:szCs w:val="24"/>
          <w:lang w:val="en" w:eastAsia="en-GB"/>
        </w:rPr>
      </w:pPr>
      <w:r w:rsidRPr="008863A6">
        <w:rPr>
          <w:rFonts w:asciiTheme="majorHAnsi" w:hAnsiTheme="majorHAnsi"/>
          <w:b/>
          <w:sz w:val="24"/>
          <w:szCs w:val="24"/>
          <w:lang w:val="en" w:eastAsia="en-GB"/>
        </w:rPr>
        <w:t>Work in progress</w:t>
      </w:r>
    </w:p>
    <w:p w:rsidR="00AB394B" w:rsidRPr="008863A6" w:rsidRDefault="00AB394B" w:rsidP="00AB394B">
      <w:pPr>
        <w:spacing w:after="240"/>
        <w:rPr>
          <w:rFonts w:asciiTheme="majorHAnsi" w:hAnsiTheme="majorHAnsi" w:cs="Arial"/>
          <w:b/>
          <w:sz w:val="24"/>
          <w:szCs w:val="24"/>
          <w:u w:val="single"/>
          <w:lang w:val="en" w:eastAsia="en-GB"/>
        </w:rPr>
      </w:pPr>
      <w:r w:rsidRPr="008863A6">
        <w:rPr>
          <w:rFonts w:asciiTheme="majorHAnsi" w:hAnsiTheme="majorHAnsi" w:cs="Arial"/>
          <w:b/>
          <w:sz w:val="24"/>
          <w:szCs w:val="24"/>
          <w:u w:val="single"/>
          <w:lang w:val="en" w:eastAsia="en-GB"/>
        </w:rPr>
        <w:t>In progress</w:t>
      </w:r>
    </w:p>
    <w:p w:rsidR="00AB394B" w:rsidRPr="008863A6" w:rsidRDefault="00AB394B" w:rsidP="00AB394B">
      <w:pPr>
        <w:spacing w:after="240"/>
        <w:rPr>
          <w:rFonts w:asciiTheme="majorHAnsi" w:hAnsiTheme="majorHAnsi" w:cs="Arial"/>
          <w:b/>
          <w:sz w:val="24"/>
          <w:szCs w:val="24"/>
          <w:u w:val="single"/>
          <w:lang w:val="en" w:eastAsia="en-GB"/>
        </w:rPr>
      </w:pPr>
      <w:r w:rsidRPr="008863A6">
        <w:rPr>
          <w:rFonts w:asciiTheme="majorHAnsi" w:hAnsiTheme="majorHAnsi" w:cs="Arial"/>
          <w:b/>
          <w:sz w:val="24"/>
          <w:szCs w:val="24"/>
          <w:u w:val="single"/>
          <w:lang w:val="en" w:eastAsia="en-GB"/>
        </w:rPr>
        <w:t>Books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sz w:val="24"/>
          <w:szCs w:val="24"/>
          <w:lang w:eastAsia="en-GB"/>
        </w:rPr>
      </w:pPr>
      <w:r w:rsidRPr="008863A6">
        <w:rPr>
          <w:rFonts w:asciiTheme="majorHAnsi" w:hAnsiTheme="majorHAnsi" w:cs="Arial"/>
          <w:b/>
          <w:i/>
          <w:sz w:val="24"/>
          <w:szCs w:val="24"/>
          <w:lang w:val="en" w:eastAsia="en-GB"/>
        </w:rPr>
        <w:t>‘Intermediation and beyond’</w:t>
      </w:r>
      <w:r w:rsidRPr="008863A6">
        <w:rPr>
          <w:rFonts w:asciiTheme="majorHAnsi" w:hAnsiTheme="majorHAnsi" w:cs="Arial"/>
          <w:sz w:val="24"/>
          <w:szCs w:val="24"/>
          <w:lang w:val="en" w:eastAsia="en-GB"/>
        </w:rPr>
        <w:t xml:space="preserve"> (volume co-edited with Jennifer Payne, Oxford).   </w:t>
      </w:r>
      <w:r w:rsidR="008863A6" w:rsidRPr="008863A6">
        <w:rPr>
          <w:rFonts w:asciiTheme="majorHAnsi" w:hAnsiTheme="majorHAnsi" w:cs="Arial"/>
          <w:sz w:val="24"/>
          <w:szCs w:val="24"/>
          <w:lang w:val="en" w:eastAsia="en-GB"/>
        </w:rPr>
        <w:t xml:space="preserve">Now delivered.  Contribution: </w:t>
      </w:r>
      <w:r w:rsidRPr="008863A6">
        <w:rPr>
          <w:rFonts w:asciiTheme="majorHAnsi" w:hAnsiTheme="majorHAnsi" w:cs="Arial"/>
          <w:sz w:val="24"/>
          <w:szCs w:val="24"/>
          <w:lang w:val="en" w:eastAsia="en-GB"/>
        </w:rPr>
        <w:t>co-author</w:t>
      </w:r>
      <w:r w:rsidR="008863A6" w:rsidRPr="008863A6">
        <w:rPr>
          <w:rFonts w:asciiTheme="majorHAnsi" w:hAnsiTheme="majorHAnsi" w:cs="Arial"/>
          <w:sz w:val="24"/>
          <w:szCs w:val="24"/>
          <w:lang w:val="en" w:eastAsia="en-GB"/>
        </w:rPr>
        <w:t>ed</w:t>
      </w:r>
      <w:r w:rsidRPr="008863A6">
        <w:rPr>
          <w:rFonts w:asciiTheme="majorHAnsi" w:hAnsiTheme="majorHAnsi" w:cs="Arial"/>
          <w:sz w:val="24"/>
          <w:szCs w:val="24"/>
          <w:lang w:val="en" w:eastAsia="en-GB"/>
        </w:rPr>
        <w:t xml:space="preserve"> introduction and conclusion with Jennifer Payne.  </w:t>
      </w:r>
      <w:r w:rsidR="008863A6" w:rsidRPr="008863A6">
        <w:rPr>
          <w:rFonts w:asciiTheme="majorHAnsi" w:hAnsiTheme="majorHAnsi" w:cs="Arial"/>
          <w:sz w:val="24"/>
          <w:szCs w:val="24"/>
          <w:lang w:val="en" w:eastAsia="en-GB"/>
        </w:rPr>
        <w:t>Single authored chapter</w:t>
      </w:r>
      <w:r w:rsidRPr="008863A6">
        <w:rPr>
          <w:rFonts w:asciiTheme="majorHAnsi" w:hAnsiTheme="majorHAnsi" w:cs="Arial"/>
          <w:sz w:val="24"/>
          <w:szCs w:val="24"/>
          <w:lang w:val="en" w:eastAsia="en-GB"/>
        </w:rPr>
        <w:t xml:space="preserve"> </w:t>
      </w:r>
      <w:r w:rsidRPr="008863A6">
        <w:rPr>
          <w:rFonts w:asciiTheme="majorHAnsi" w:hAnsiTheme="majorHAnsi" w:cs="Arial"/>
          <w:sz w:val="24"/>
          <w:szCs w:val="24"/>
        </w:rPr>
        <w:t>‘</w:t>
      </w:r>
      <w:r w:rsidRPr="008863A6">
        <w:rPr>
          <w:rFonts w:asciiTheme="majorHAnsi" w:eastAsia="Times" w:hAnsiTheme="majorHAnsi" w:cs="Arial"/>
          <w:i/>
          <w:sz w:val="24"/>
          <w:szCs w:val="24"/>
        </w:rPr>
        <w:t xml:space="preserve">Two consequences of the intermediated holding of debt securities: examining </w:t>
      </w:r>
      <w:r w:rsidRPr="008863A6">
        <w:rPr>
          <w:rFonts w:asciiTheme="majorHAnsi" w:eastAsia="Times" w:hAnsiTheme="majorHAnsi" w:cs="Arial"/>
          <w:i/>
          <w:sz w:val="24"/>
          <w:szCs w:val="24"/>
        </w:rPr>
        <w:lastRenderedPageBreak/>
        <w:t>discharge of debt and set-off</w:t>
      </w:r>
      <w:r w:rsidRPr="008863A6">
        <w:rPr>
          <w:rFonts w:asciiTheme="majorHAnsi" w:eastAsia="Times" w:hAnsiTheme="majorHAnsi" w:cs="Arial"/>
          <w:sz w:val="24"/>
          <w:szCs w:val="24"/>
        </w:rPr>
        <w:t>,’</w:t>
      </w:r>
      <w:r w:rsidR="008863A6" w:rsidRPr="008863A6">
        <w:rPr>
          <w:rFonts w:asciiTheme="majorHAnsi" w:eastAsia="Times" w:hAnsiTheme="majorHAnsi" w:cs="Arial"/>
          <w:sz w:val="24"/>
          <w:szCs w:val="24"/>
        </w:rPr>
        <w:t xml:space="preserve"> </w:t>
      </w:r>
      <w:r w:rsidRPr="008863A6">
        <w:rPr>
          <w:rFonts w:asciiTheme="majorHAnsi" w:eastAsia="Times" w:hAnsiTheme="majorHAnsi" w:cs="Arial"/>
          <w:sz w:val="24"/>
          <w:szCs w:val="24"/>
        </w:rPr>
        <w:t>co-author</w:t>
      </w:r>
      <w:r w:rsidR="008863A6" w:rsidRPr="008863A6">
        <w:rPr>
          <w:rFonts w:asciiTheme="majorHAnsi" w:eastAsia="Times" w:hAnsiTheme="majorHAnsi" w:cs="Arial"/>
          <w:sz w:val="24"/>
          <w:szCs w:val="24"/>
        </w:rPr>
        <w:t>ed</w:t>
      </w:r>
      <w:r w:rsidRPr="008863A6">
        <w:rPr>
          <w:rFonts w:asciiTheme="majorHAnsi" w:eastAsia="Times" w:hAnsiTheme="majorHAnsi" w:cs="Arial"/>
          <w:sz w:val="24"/>
          <w:szCs w:val="24"/>
        </w:rPr>
        <w:t xml:space="preserve"> ‘</w:t>
      </w:r>
      <w:r w:rsidRPr="008863A6">
        <w:rPr>
          <w:rFonts w:asciiTheme="majorHAnsi" w:hAnsiTheme="majorHAnsi" w:cs="Arial"/>
          <w:sz w:val="24"/>
          <w:szCs w:val="24"/>
          <w:lang w:eastAsia="en-GB"/>
        </w:rPr>
        <w:t>Stewardship and collateral: the advantages and disadvantages</w:t>
      </w:r>
      <w:r w:rsidR="008863A6" w:rsidRPr="008863A6">
        <w:rPr>
          <w:rFonts w:asciiTheme="majorHAnsi" w:hAnsiTheme="majorHAnsi" w:cs="Arial"/>
          <w:sz w:val="24"/>
          <w:szCs w:val="24"/>
          <w:lang w:eastAsia="en-GB"/>
        </w:rPr>
        <w:t xml:space="preserve"> of the no-look through system’ (with Joanna Benjamin)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sz w:val="24"/>
          <w:szCs w:val="24"/>
          <w:lang w:eastAsia="en-GB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sz w:val="24"/>
          <w:szCs w:val="24"/>
          <w:lang w:eastAsia="en-GB"/>
        </w:rPr>
      </w:pPr>
      <w:r w:rsidRPr="008863A6">
        <w:rPr>
          <w:rFonts w:asciiTheme="majorHAnsi" w:hAnsiTheme="majorHAnsi" w:cs="Arial"/>
          <w:b/>
          <w:i/>
          <w:sz w:val="24"/>
          <w:szCs w:val="24"/>
          <w:lang w:eastAsia="en-GB"/>
        </w:rPr>
        <w:t xml:space="preserve">‘Secured Transactions Law Reform in Africa’ </w:t>
      </w:r>
      <w:r w:rsidRPr="008863A6">
        <w:rPr>
          <w:rFonts w:asciiTheme="majorHAnsi" w:hAnsiTheme="majorHAnsi" w:cs="Arial"/>
          <w:sz w:val="24"/>
          <w:szCs w:val="24"/>
          <w:lang w:eastAsia="en-GB"/>
        </w:rPr>
        <w:t>(volume co-authored with Marek Dubovec of the National Law Center, Arizona, 3 other contributors to single chapters)   The contract has been signed with Hart Publishing, planned delivery 2019.    9 chapters already written and in reasonably final form.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sz w:val="24"/>
          <w:szCs w:val="24"/>
          <w:lang w:eastAsia="en-GB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iCs/>
          <w:sz w:val="24"/>
          <w:szCs w:val="24"/>
        </w:rPr>
      </w:pPr>
      <w:r w:rsidRPr="008863A6">
        <w:rPr>
          <w:rFonts w:asciiTheme="majorHAnsi" w:hAnsiTheme="majorHAnsi" w:cs="Arial"/>
          <w:b/>
          <w:i/>
          <w:sz w:val="24"/>
          <w:szCs w:val="24"/>
          <w:lang w:eastAsia="en-GB"/>
        </w:rPr>
        <w:t xml:space="preserve">‘Secured Transactions Law Reform in Asia’ </w:t>
      </w:r>
      <w:r w:rsidRPr="008863A6">
        <w:rPr>
          <w:rFonts w:asciiTheme="majorHAnsi" w:hAnsiTheme="majorHAnsi" w:cs="Arial"/>
          <w:sz w:val="24"/>
          <w:szCs w:val="24"/>
          <w:lang w:eastAsia="en-GB"/>
        </w:rPr>
        <w:t>(volume co-edited with Dora Neo of NUS) Contract from Hart Publishing received and to be signed shortly.   The papers for this book will be delivered at a conference at NUS at the end of July 2018.   I will be co-authoring the introduction and conclusion and will write a chapter entitled ‘</w:t>
      </w:r>
      <w:r w:rsidRPr="008863A6">
        <w:rPr>
          <w:rFonts w:asciiTheme="majorHAnsi" w:hAnsiTheme="majorHAnsi" w:cs="Arial"/>
          <w:i/>
          <w:iCs/>
          <w:sz w:val="24"/>
          <w:szCs w:val="24"/>
        </w:rPr>
        <w:t xml:space="preserve">Secured transactions law reform in common law jurisdictions’.  </w:t>
      </w:r>
      <w:r w:rsidRPr="008863A6">
        <w:rPr>
          <w:rFonts w:asciiTheme="majorHAnsi" w:hAnsiTheme="majorHAnsi" w:cs="Arial"/>
          <w:iCs/>
          <w:sz w:val="24"/>
          <w:szCs w:val="24"/>
        </w:rPr>
        <w:t>This chapter will consider, in particular, the reform in Brunei as an example.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iCs/>
          <w:sz w:val="24"/>
          <w:szCs w:val="24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iCs/>
          <w:sz w:val="24"/>
          <w:szCs w:val="24"/>
        </w:rPr>
      </w:pPr>
      <w:r w:rsidRPr="008863A6">
        <w:rPr>
          <w:rFonts w:asciiTheme="majorHAnsi" w:hAnsiTheme="majorHAnsi" w:cs="Arial"/>
          <w:b/>
          <w:i/>
          <w:iCs/>
          <w:sz w:val="24"/>
          <w:szCs w:val="24"/>
        </w:rPr>
        <w:t>3</w:t>
      </w:r>
      <w:r w:rsidRPr="008863A6">
        <w:rPr>
          <w:rFonts w:asciiTheme="majorHAnsi" w:hAnsiTheme="majorHAnsi" w:cs="Arial"/>
          <w:b/>
          <w:i/>
          <w:iCs/>
          <w:sz w:val="24"/>
          <w:szCs w:val="24"/>
          <w:vertAlign w:val="superscript"/>
        </w:rPr>
        <w:t>rd</w:t>
      </w:r>
      <w:r w:rsidRPr="008863A6">
        <w:rPr>
          <w:rFonts w:asciiTheme="majorHAnsi" w:hAnsiTheme="majorHAnsi" w:cs="Arial"/>
          <w:b/>
          <w:i/>
          <w:iCs/>
          <w:sz w:val="24"/>
          <w:szCs w:val="24"/>
        </w:rPr>
        <w:t xml:space="preserve"> edition of Corporate Finance Law: principles and policies.   </w:t>
      </w:r>
      <w:r w:rsidRPr="008863A6">
        <w:rPr>
          <w:rFonts w:asciiTheme="majorHAnsi" w:hAnsiTheme="majorHAnsi" w:cs="Arial"/>
          <w:iCs/>
          <w:sz w:val="24"/>
          <w:szCs w:val="24"/>
        </w:rPr>
        <w:t>Contract signed with Hart Publishing.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iCs/>
          <w:sz w:val="24"/>
          <w:szCs w:val="24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b/>
          <w:iCs/>
          <w:sz w:val="24"/>
          <w:szCs w:val="24"/>
          <w:u w:val="single"/>
        </w:rPr>
      </w:pPr>
      <w:r w:rsidRPr="008863A6">
        <w:rPr>
          <w:rFonts w:asciiTheme="majorHAnsi" w:hAnsiTheme="majorHAnsi" w:cs="Arial"/>
          <w:b/>
          <w:iCs/>
          <w:sz w:val="24"/>
          <w:szCs w:val="24"/>
          <w:u w:val="single"/>
        </w:rPr>
        <w:t>Articles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b/>
          <w:iCs/>
          <w:sz w:val="24"/>
          <w:szCs w:val="24"/>
          <w:u w:val="single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iCs/>
          <w:sz w:val="24"/>
          <w:szCs w:val="24"/>
        </w:rPr>
      </w:pPr>
      <w:r w:rsidRPr="008863A6">
        <w:rPr>
          <w:rFonts w:asciiTheme="majorHAnsi" w:hAnsiTheme="majorHAnsi" w:cs="Arial"/>
          <w:b/>
          <w:i/>
          <w:iCs/>
          <w:sz w:val="24"/>
          <w:szCs w:val="24"/>
        </w:rPr>
        <w:t xml:space="preserve">Bitcoin and insolvency </w:t>
      </w:r>
      <w:r w:rsidRPr="008863A6">
        <w:rPr>
          <w:rFonts w:asciiTheme="majorHAnsi" w:hAnsiTheme="majorHAnsi" w:cs="Arial"/>
          <w:iCs/>
          <w:sz w:val="24"/>
          <w:szCs w:val="24"/>
        </w:rPr>
        <w:t xml:space="preserve">with Janis </w:t>
      </w:r>
      <w:proofErr w:type="spellStart"/>
      <w:r w:rsidRPr="008863A6">
        <w:rPr>
          <w:rFonts w:asciiTheme="majorHAnsi" w:hAnsiTheme="majorHAnsi" w:cs="Arial"/>
          <w:iCs/>
          <w:sz w:val="24"/>
          <w:szCs w:val="24"/>
        </w:rPr>
        <w:t>Sarra</w:t>
      </w:r>
      <w:proofErr w:type="spellEnd"/>
      <w:r w:rsidRPr="008863A6">
        <w:rPr>
          <w:rFonts w:asciiTheme="majorHAnsi" w:hAnsiTheme="majorHAnsi" w:cs="Arial"/>
          <w:iCs/>
          <w:sz w:val="24"/>
          <w:szCs w:val="24"/>
        </w:rPr>
        <w:t xml:space="preserve"> of UBC.   This is work in progress.</w:t>
      </w:r>
      <w:r w:rsidR="008863A6" w:rsidRPr="008863A6">
        <w:rPr>
          <w:rFonts w:asciiTheme="majorHAnsi" w:hAnsiTheme="majorHAnsi" w:cs="Arial"/>
          <w:iCs/>
          <w:sz w:val="24"/>
          <w:szCs w:val="24"/>
        </w:rPr>
        <w:t xml:space="preserve">   Versions to be delivered at the International Insolvency Institute Academic Committee meeting 23</w:t>
      </w:r>
      <w:r w:rsidR="008863A6" w:rsidRPr="008863A6">
        <w:rPr>
          <w:rFonts w:asciiTheme="majorHAnsi" w:hAnsiTheme="majorHAnsi" w:cs="Arial"/>
          <w:iCs/>
          <w:sz w:val="24"/>
          <w:szCs w:val="24"/>
          <w:vertAlign w:val="superscript"/>
        </w:rPr>
        <w:t>rd</w:t>
      </w:r>
      <w:r w:rsidR="008863A6" w:rsidRPr="008863A6">
        <w:rPr>
          <w:rFonts w:asciiTheme="majorHAnsi" w:hAnsiTheme="majorHAnsi" w:cs="Arial"/>
          <w:iCs/>
          <w:sz w:val="24"/>
          <w:szCs w:val="24"/>
        </w:rPr>
        <w:t xml:space="preserve"> September 2018 and as part of the lecture series of the </w:t>
      </w:r>
      <w:r w:rsidR="008863A6" w:rsidRPr="008863A6">
        <w:rPr>
          <w:rFonts w:asciiTheme="majorHAnsi" w:hAnsiTheme="majorHAnsi"/>
          <w:sz w:val="24"/>
          <w:szCs w:val="24"/>
        </w:rPr>
        <w:t>QMUL-UNIDROIT Institute of Transnational Commercial Law on 28</w:t>
      </w:r>
      <w:r w:rsidR="008863A6"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="008863A6" w:rsidRPr="008863A6">
        <w:rPr>
          <w:rFonts w:asciiTheme="majorHAnsi" w:hAnsiTheme="majorHAnsi"/>
          <w:sz w:val="24"/>
          <w:szCs w:val="24"/>
        </w:rPr>
        <w:t xml:space="preserve"> September 2018.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iCs/>
          <w:sz w:val="24"/>
          <w:szCs w:val="24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sz w:val="24"/>
          <w:szCs w:val="24"/>
        </w:rPr>
      </w:pPr>
      <w:r w:rsidRPr="008863A6">
        <w:rPr>
          <w:rFonts w:asciiTheme="majorHAnsi" w:hAnsiTheme="majorHAnsi" w:cs="Arial"/>
          <w:b/>
          <w:bCs/>
          <w:i/>
          <w:sz w:val="24"/>
          <w:szCs w:val="24"/>
        </w:rPr>
        <w:t xml:space="preserve">How </w:t>
      </w:r>
      <w:proofErr w:type="gramStart"/>
      <w:r w:rsidRPr="008863A6">
        <w:rPr>
          <w:rFonts w:asciiTheme="majorHAnsi" w:hAnsiTheme="majorHAnsi" w:cs="Arial"/>
          <w:b/>
          <w:bCs/>
          <w:i/>
          <w:sz w:val="24"/>
          <w:szCs w:val="24"/>
        </w:rPr>
        <w:t>Automatic</w:t>
      </w:r>
      <w:proofErr w:type="gramEnd"/>
      <w:r w:rsidRPr="008863A6">
        <w:rPr>
          <w:rFonts w:asciiTheme="majorHAnsi" w:hAnsiTheme="majorHAnsi" w:cs="Arial"/>
          <w:b/>
          <w:bCs/>
          <w:i/>
          <w:sz w:val="24"/>
          <w:szCs w:val="24"/>
        </w:rPr>
        <w:t xml:space="preserve"> can an Automatic Electronic Secured Transactions Register be?  </w:t>
      </w:r>
      <w:r w:rsidRPr="008863A6">
        <w:rPr>
          <w:rFonts w:asciiTheme="majorHAnsi" w:hAnsiTheme="majorHAnsi" w:cs="Arial"/>
          <w:bCs/>
          <w:sz w:val="24"/>
          <w:szCs w:val="24"/>
        </w:rPr>
        <w:t xml:space="preserve">With </w:t>
      </w:r>
      <w:r w:rsidRPr="008863A6">
        <w:rPr>
          <w:rFonts w:asciiTheme="majorHAnsi" w:hAnsiTheme="majorHAnsi" w:cs="Arial"/>
          <w:sz w:val="24"/>
          <w:szCs w:val="24"/>
        </w:rPr>
        <w:t xml:space="preserve">Teresa Rodríguez de la Heras </w:t>
      </w:r>
      <w:proofErr w:type="spellStart"/>
      <w:r w:rsidRPr="008863A6">
        <w:rPr>
          <w:rFonts w:asciiTheme="majorHAnsi" w:hAnsiTheme="majorHAnsi" w:cs="Arial"/>
          <w:sz w:val="24"/>
          <w:szCs w:val="24"/>
        </w:rPr>
        <w:t>Ballell</w:t>
      </w:r>
      <w:proofErr w:type="spellEnd"/>
      <w:r w:rsidRPr="008863A6">
        <w:rPr>
          <w:rFonts w:asciiTheme="majorHAnsi" w:hAnsiTheme="majorHAnsi" w:cs="Arial"/>
          <w:sz w:val="24"/>
          <w:szCs w:val="24"/>
        </w:rPr>
        <w:t xml:space="preserve"> of Universidad Carlos III, Madrid.  In progress (much of my part has been written)</w:t>
      </w: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b/>
          <w:i/>
          <w:sz w:val="24"/>
          <w:szCs w:val="24"/>
        </w:rPr>
      </w:pPr>
    </w:p>
    <w:p w:rsidR="00AB394B" w:rsidRPr="008863A6" w:rsidRDefault="00AB394B" w:rsidP="00AB394B">
      <w:pPr>
        <w:spacing w:line="276" w:lineRule="auto"/>
        <w:rPr>
          <w:rFonts w:asciiTheme="majorHAnsi" w:hAnsiTheme="majorHAnsi" w:cs="Arial"/>
          <w:b/>
          <w:i/>
          <w:iCs/>
          <w:sz w:val="24"/>
          <w:szCs w:val="24"/>
        </w:rPr>
      </w:pPr>
      <w:r w:rsidRPr="008863A6">
        <w:rPr>
          <w:rFonts w:asciiTheme="majorHAnsi" w:hAnsiTheme="majorHAnsi" w:cs="Arial"/>
          <w:b/>
          <w:i/>
          <w:sz w:val="24"/>
          <w:szCs w:val="24"/>
        </w:rPr>
        <w:t>The financing of micro-businesses in the EU.</w:t>
      </w:r>
      <w:r w:rsidRPr="008863A6">
        <w:rPr>
          <w:rFonts w:asciiTheme="majorHAnsi" w:hAnsiTheme="majorHAnsi" w:cs="Arial"/>
          <w:b/>
          <w:sz w:val="24"/>
          <w:szCs w:val="24"/>
        </w:rPr>
        <w:t xml:space="preserve">   </w:t>
      </w:r>
      <w:r w:rsidRPr="008863A6">
        <w:rPr>
          <w:rFonts w:asciiTheme="majorHAnsi" w:hAnsiTheme="majorHAnsi" w:cs="Arial"/>
          <w:sz w:val="24"/>
          <w:szCs w:val="24"/>
        </w:rPr>
        <w:t>This paper is part of a series of papers I am writing with Ignacio Tirado, Universida</w:t>
      </w:r>
      <w:r w:rsidR="00E0567E">
        <w:rPr>
          <w:rFonts w:asciiTheme="majorHAnsi" w:hAnsiTheme="majorHAnsi" w:cs="Arial"/>
          <w:sz w:val="24"/>
          <w:szCs w:val="24"/>
        </w:rPr>
        <w:t xml:space="preserve">d </w:t>
      </w:r>
      <w:proofErr w:type="spellStart"/>
      <w:r w:rsidR="00E0567E">
        <w:rPr>
          <w:rFonts w:asciiTheme="majorHAnsi" w:hAnsiTheme="majorHAnsi" w:cs="Arial"/>
          <w:sz w:val="24"/>
          <w:szCs w:val="24"/>
        </w:rPr>
        <w:t>Autonoma</w:t>
      </w:r>
      <w:proofErr w:type="spellEnd"/>
      <w:r w:rsidR="00E0567E">
        <w:rPr>
          <w:rFonts w:asciiTheme="majorHAnsi" w:hAnsiTheme="majorHAnsi" w:cs="Arial"/>
          <w:sz w:val="24"/>
          <w:szCs w:val="24"/>
        </w:rPr>
        <w:t xml:space="preserve"> de Madrid</w:t>
      </w:r>
      <w:r w:rsidRPr="008863A6">
        <w:rPr>
          <w:rFonts w:asciiTheme="majorHAnsi" w:hAnsiTheme="majorHAnsi" w:cs="Arial"/>
          <w:sz w:val="24"/>
          <w:szCs w:val="24"/>
        </w:rPr>
        <w:t xml:space="preserve">.   I have written part of my contribution. </w:t>
      </w:r>
    </w:p>
    <w:p w:rsidR="00AB394B" w:rsidRPr="008863A6" w:rsidRDefault="00AB394B" w:rsidP="001E0BC2">
      <w:pPr>
        <w:spacing w:after="240"/>
        <w:rPr>
          <w:rFonts w:asciiTheme="majorHAnsi" w:hAnsiTheme="majorHAnsi"/>
          <w:b/>
          <w:sz w:val="24"/>
          <w:szCs w:val="24"/>
          <w:lang w:val="en" w:eastAsia="en-GB"/>
        </w:rPr>
      </w:pPr>
    </w:p>
    <w:p w:rsidR="00C449A0" w:rsidRPr="008863A6" w:rsidRDefault="00941318" w:rsidP="00280901">
      <w:pPr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Selected</w:t>
      </w:r>
      <w:r w:rsidR="00C449A0" w:rsidRPr="008863A6">
        <w:rPr>
          <w:rFonts w:asciiTheme="majorHAnsi" w:hAnsiTheme="majorHAnsi"/>
          <w:b/>
          <w:sz w:val="24"/>
          <w:szCs w:val="24"/>
        </w:rPr>
        <w:t xml:space="preserve"> public lectures</w:t>
      </w:r>
      <w:r w:rsidR="00EA4CDE" w:rsidRPr="008863A6">
        <w:rPr>
          <w:rFonts w:asciiTheme="majorHAnsi" w:hAnsiTheme="majorHAnsi"/>
          <w:b/>
          <w:sz w:val="24"/>
          <w:szCs w:val="24"/>
        </w:rPr>
        <w:t xml:space="preserve"> and chairmanships</w:t>
      </w:r>
    </w:p>
    <w:p w:rsidR="00C449A0" w:rsidRPr="008863A6" w:rsidRDefault="00C449A0" w:rsidP="00280901">
      <w:pPr>
        <w:rPr>
          <w:rFonts w:asciiTheme="majorHAnsi" w:hAnsiTheme="majorHAnsi"/>
          <w:b/>
          <w:sz w:val="24"/>
          <w:szCs w:val="24"/>
        </w:rPr>
      </w:pPr>
    </w:p>
    <w:p w:rsidR="00A67B9D" w:rsidRDefault="00A67B9D" w:rsidP="00671259">
      <w:pPr>
        <w:pStyle w:val="Default"/>
        <w:rPr>
          <w:rFonts w:asciiTheme="majorHAnsi" w:hAnsiTheme="majorHAnsi"/>
          <w:color w:val="auto"/>
          <w:lang w:val="en"/>
        </w:rPr>
      </w:pPr>
      <w:r w:rsidRPr="008863A6">
        <w:rPr>
          <w:rFonts w:asciiTheme="majorHAnsi" w:hAnsiTheme="majorHAnsi"/>
          <w:color w:val="auto"/>
          <w:lang w:val="en"/>
        </w:rPr>
        <w:t xml:space="preserve">Keynote address at ‘Secured Transactions Law Reform: globally and in Japan’ </w:t>
      </w:r>
      <w:proofErr w:type="spellStart"/>
      <w:r w:rsidRPr="008863A6">
        <w:rPr>
          <w:rFonts w:asciiTheme="majorHAnsi" w:hAnsiTheme="majorHAnsi"/>
          <w:color w:val="auto"/>
          <w:lang w:val="en"/>
        </w:rPr>
        <w:t>organised</w:t>
      </w:r>
      <w:proofErr w:type="spellEnd"/>
      <w:r w:rsidRPr="008863A6">
        <w:rPr>
          <w:rFonts w:asciiTheme="majorHAnsi" w:hAnsiTheme="majorHAnsi"/>
          <w:color w:val="auto"/>
          <w:lang w:val="en"/>
        </w:rPr>
        <w:t xml:space="preserve"> by </w:t>
      </w:r>
      <w:proofErr w:type="spellStart"/>
      <w:r w:rsidRPr="008863A6">
        <w:rPr>
          <w:rFonts w:asciiTheme="majorHAnsi" w:hAnsiTheme="majorHAnsi"/>
          <w:color w:val="auto"/>
          <w:lang w:val="en"/>
        </w:rPr>
        <w:t>Gakushuin</w:t>
      </w:r>
      <w:proofErr w:type="spellEnd"/>
      <w:r w:rsidRPr="008863A6">
        <w:rPr>
          <w:rFonts w:asciiTheme="majorHAnsi" w:hAnsiTheme="majorHAnsi"/>
          <w:color w:val="auto"/>
          <w:lang w:val="en"/>
        </w:rPr>
        <w:t xml:space="preserve"> University and Bank of Japan, 30</w:t>
      </w:r>
      <w:r w:rsidRPr="008863A6">
        <w:rPr>
          <w:rFonts w:asciiTheme="majorHAnsi" w:hAnsiTheme="majorHAnsi"/>
          <w:color w:val="auto"/>
          <w:vertAlign w:val="superscript"/>
          <w:lang w:val="en"/>
        </w:rPr>
        <w:t>th</w:t>
      </w:r>
      <w:r w:rsidRPr="008863A6">
        <w:rPr>
          <w:rFonts w:asciiTheme="majorHAnsi" w:hAnsiTheme="majorHAnsi"/>
          <w:color w:val="auto"/>
          <w:lang w:val="en"/>
        </w:rPr>
        <w:t>/31</w:t>
      </w:r>
      <w:r w:rsidRPr="008863A6">
        <w:rPr>
          <w:rFonts w:asciiTheme="majorHAnsi" w:hAnsiTheme="majorHAnsi"/>
          <w:color w:val="auto"/>
          <w:vertAlign w:val="superscript"/>
          <w:lang w:val="en"/>
        </w:rPr>
        <w:t>st</w:t>
      </w:r>
      <w:r w:rsidRPr="008863A6">
        <w:rPr>
          <w:rFonts w:asciiTheme="majorHAnsi" w:hAnsiTheme="majorHAnsi"/>
          <w:color w:val="auto"/>
          <w:lang w:val="en"/>
        </w:rPr>
        <w:t xml:space="preserve"> July 2018</w:t>
      </w:r>
    </w:p>
    <w:p w:rsidR="008863A6" w:rsidRDefault="008863A6" w:rsidP="00671259">
      <w:pPr>
        <w:pStyle w:val="Default"/>
        <w:rPr>
          <w:rFonts w:asciiTheme="majorHAnsi" w:hAnsiTheme="majorHAnsi"/>
          <w:color w:val="auto"/>
          <w:lang w:val="en"/>
        </w:rPr>
      </w:pPr>
    </w:p>
    <w:p w:rsidR="008863A6" w:rsidRPr="008863A6" w:rsidRDefault="008863A6" w:rsidP="00671259">
      <w:pPr>
        <w:pStyle w:val="Default"/>
        <w:rPr>
          <w:rFonts w:asciiTheme="majorHAnsi" w:hAnsiTheme="majorHAnsi"/>
          <w:color w:val="auto"/>
          <w:lang w:val="en"/>
        </w:rPr>
      </w:pPr>
      <w:r>
        <w:rPr>
          <w:rFonts w:asciiTheme="majorHAnsi" w:hAnsiTheme="majorHAnsi"/>
          <w:color w:val="auto"/>
          <w:lang w:val="en"/>
        </w:rPr>
        <w:t>‘The financing of micro-businesses in the UK’ at the biannual meeting of the International Academy of Commercial and Consumer Law, Durham University, July 2018.</w:t>
      </w:r>
    </w:p>
    <w:p w:rsidR="00E47060" w:rsidRPr="008863A6" w:rsidRDefault="00E47060" w:rsidP="00671259">
      <w:pPr>
        <w:pStyle w:val="Default"/>
        <w:rPr>
          <w:rFonts w:asciiTheme="majorHAnsi" w:hAnsiTheme="majorHAnsi"/>
          <w:color w:val="auto"/>
          <w:lang w:val="en"/>
        </w:rPr>
      </w:pPr>
    </w:p>
    <w:p w:rsidR="00AC24E2" w:rsidRPr="008863A6" w:rsidRDefault="00AC24E2" w:rsidP="00671259">
      <w:pPr>
        <w:pStyle w:val="Default"/>
        <w:rPr>
          <w:rFonts w:asciiTheme="majorHAnsi" w:hAnsiTheme="majorHAnsi"/>
          <w:color w:val="auto"/>
          <w:lang w:val="en"/>
        </w:rPr>
      </w:pPr>
      <w:r w:rsidRPr="008863A6">
        <w:rPr>
          <w:rFonts w:asciiTheme="majorHAnsi" w:hAnsiTheme="majorHAnsi"/>
          <w:color w:val="auto"/>
          <w:lang w:val="en"/>
        </w:rPr>
        <w:t>‘</w:t>
      </w:r>
      <w:r w:rsidRPr="008863A6">
        <w:rPr>
          <w:rFonts w:asciiTheme="majorHAnsi" w:hAnsiTheme="majorHAnsi"/>
          <w:i/>
          <w:color w:val="auto"/>
          <w:lang w:val="en-US"/>
        </w:rPr>
        <w:t>The vanishing scope of the Sale of Goods Act in the 21</w:t>
      </w:r>
      <w:r w:rsidRPr="008863A6">
        <w:rPr>
          <w:rFonts w:asciiTheme="majorHAnsi" w:hAnsiTheme="majorHAnsi"/>
          <w:i/>
          <w:color w:val="auto"/>
          <w:vertAlign w:val="superscript"/>
          <w:lang w:val="en-US"/>
        </w:rPr>
        <w:t>st</w:t>
      </w:r>
      <w:r w:rsidRPr="008863A6">
        <w:rPr>
          <w:rFonts w:asciiTheme="majorHAnsi" w:hAnsiTheme="majorHAnsi"/>
          <w:i/>
          <w:color w:val="auto"/>
          <w:lang w:val="en-US"/>
        </w:rPr>
        <w:t xml:space="preserve"> </w:t>
      </w:r>
      <w:proofErr w:type="gramStart"/>
      <w:r w:rsidRPr="008863A6">
        <w:rPr>
          <w:rFonts w:asciiTheme="majorHAnsi" w:hAnsiTheme="majorHAnsi"/>
          <w:i/>
          <w:color w:val="auto"/>
          <w:lang w:val="en-US"/>
        </w:rPr>
        <w:t xml:space="preserve">century’  </w:t>
      </w:r>
      <w:r w:rsidRPr="008863A6">
        <w:rPr>
          <w:rFonts w:asciiTheme="majorHAnsi" w:hAnsiTheme="majorHAnsi"/>
          <w:color w:val="auto"/>
          <w:lang w:val="en-US"/>
        </w:rPr>
        <w:t>Pragmatism</w:t>
      </w:r>
      <w:proofErr w:type="gramEnd"/>
      <w:r w:rsidRPr="008863A6">
        <w:rPr>
          <w:rFonts w:asciiTheme="majorHAnsi" w:hAnsiTheme="majorHAnsi"/>
          <w:color w:val="auto"/>
          <w:lang w:val="en-US"/>
        </w:rPr>
        <w:t xml:space="preserve"> in common law, LSE, 11</w:t>
      </w:r>
      <w:r w:rsidRPr="008863A6">
        <w:rPr>
          <w:rFonts w:asciiTheme="majorHAnsi" w:hAnsiTheme="majorHAnsi"/>
          <w:color w:val="auto"/>
          <w:vertAlign w:val="superscript"/>
          <w:lang w:val="en-US"/>
        </w:rPr>
        <w:t>th</w:t>
      </w:r>
      <w:r w:rsidRPr="008863A6">
        <w:rPr>
          <w:rFonts w:asciiTheme="majorHAnsi" w:hAnsiTheme="majorHAnsi"/>
          <w:color w:val="auto"/>
          <w:lang w:val="en-US"/>
        </w:rPr>
        <w:t xml:space="preserve"> May 2018</w:t>
      </w:r>
      <w:r w:rsidR="00E47060" w:rsidRPr="008863A6">
        <w:rPr>
          <w:rFonts w:asciiTheme="majorHAnsi" w:hAnsiTheme="majorHAnsi"/>
          <w:color w:val="auto"/>
          <w:lang w:val="en-US"/>
        </w:rPr>
        <w:t xml:space="preserve"> (panel chair)</w:t>
      </w:r>
    </w:p>
    <w:p w:rsidR="00AC24E2" w:rsidRPr="008863A6" w:rsidRDefault="00AC24E2" w:rsidP="00671259">
      <w:pPr>
        <w:pStyle w:val="Default"/>
        <w:rPr>
          <w:rFonts w:asciiTheme="majorHAnsi" w:hAnsiTheme="majorHAnsi"/>
          <w:color w:val="auto"/>
          <w:lang w:val="en"/>
        </w:rPr>
      </w:pPr>
    </w:p>
    <w:p w:rsidR="00FA0128" w:rsidRPr="008863A6" w:rsidRDefault="00671259" w:rsidP="00671259">
      <w:pPr>
        <w:pStyle w:val="Default"/>
        <w:rPr>
          <w:rFonts w:asciiTheme="majorHAnsi" w:hAnsiTheme="majorHAnsi"/>
          <w:color w:val="auto"/>
          <w:lang w:val="en"/>
        </w:rPr>
      </w:pPr>
      <w:r w:rsidRPr="008863A6">
        <w:rPr>
          <w:rFonts w:asciiTheme="majorHAnsi" w:hAnsiTheme="majorHAnsi"/>
          <w:color w:val="auto"/>
          <w:lang w:val="en"/>
        </w:rPr>
        <w:t>Chair of panel at conference on ‘</w:t>
      </w:r>
      <w:r w:rsidRPr="008863A6">
        <w:rPr>
          <w:rFonts w:asciiTheme="majorHAnsi" w:hAnsiTheme="majorHAnsi" w:cs="Kings Caslon Text"/>
          <w:bCs/>
          <w:color w:val="auto"/>
        </w:rPr>
        <w:t>Unity and Diversity in the Law of the International Sale of Goods’ (KCL, 16</w:t>
      </w:r>
      <w:r w:rsidRPr="008863A6">
        <w:rPr>
          <w:rFonts w:asciiTheme="majorHAnsi" w:hAnsiTheme="majorHAnsi" w:cs="Kings Caslon Text"/>
          <w:bCs/>
          <w:color w:val="auto"/>
          <w:vertAlign w:val="superscript"/>
        </w:rPr>
        <w:t>th</w:t>
      </w:r>
      <w:r w:rsidRPr="008863A6">
        <w:rPr>
          <w:rFonts w:asciiTheme="majorHAnsi" w:hAnsiTheme="majorHAnsi" w:cs="Kings Caslon Text"/>
          <w:bCs/>
          <w:color w:val="auto"/>
        </w:rPr>
        <w:t>/17</w:t>
      </w:r>
      <w:r w:rsidRPr="008863A6">
        <w:rPr>
          <w:rFonts w:asciiTheme="majorHAnsi" w:hAnsiTheme="majorHAnsi" w:cs="Kings Caslon Text"/>
          <w:bCs/>
          <w:color w:val="auto"/>
          <w:vertAlign w:val="superscript"/>
        </w:rPr>
        <w:t>th</w:t>
      </w:r>
      <w:r w:rsidRPr="008863A6">
        <w:rPr>
          <w:rFonts w:asciiTheme="majorHAnsi" w:hAnsiTheme="majorHAnsi" w:cs="Kings Caslon Text"/>
          <w:bCs/>
          <w:color w:val="auto"/>
        </w:rPr>
        <w:t xml:space="preserve"> April 2018)</w:t>
      </w:r>
    </w:p>
    <w:p w:rsidR="00FA0128" w:rsidRPr="008863A6" w:rsidRDefault="00FA0128" w:rsidP="00FA0128">
      <w:pPr>
        <w:spacing w:before="100" w:beforeAutospacing="1" w:after="100" w:afterAutospacing="1"/>
        <w:rPr>
          <w:rFonts w:asciiTheme="majorHAnsi" w:hAnsiTheme="majorHAnsi"/>
          <w:bCs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  <w:lang w:val="en"/>
        </w:rPr>
        <w:t xml:space="preserve">‘Bitcoin Bankruptcy </w:t>
      </w:r>
      <w:proofErr w:type="gramStart"/>
      <w:r w:rsidRPr="008863A6">
        <w:rPr>
          <w:rFonts w:asciiTheme="majorHAnsi" w:hAnsiTheme="majorHAnsi"/>
          <w:i/>
          <w:sz w:val="24"/>
          <w:szCs w:val="24"/>
          <w:lang w:val="en"/>
        </w:rPr>
        <w:t xml:space="preserve">Risk’  </w:t>
      </w:r>
      <w:r w:rsidRPr="008863A6">
        <w:rPr>
          <w:rFonts w:asciiTheme="majorHAnsi" w:hAnsiTheme="majorHAnsi"/>
          <w:bCs/>
          <w:sz w:val="24"/>
          <w:szCs w:val="24"/>
        </w:rPr>
        <w:t>The</w:t>
      </w:r>
      <w:proofErr w:type="gramEnd"/>
      <w:r w:rsidRPr="008863A6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8863A6">
        <w:rPr>
          <w:rFonts w:asciiTheme="majorHAnsi" w:hAnsiTheme="majorHAnsi"/>
          <w:bCs/>
          <w:sz w:val="24"/>
          <w:szCs w:val="24"/>
        </w:rPr>
        <w:t>Honourable</w:t>
      </w:r>
      <w:proofErr w:type="spellEnd"/>
      <w:r w:rsidRPr="008863A6">
        <w:rPr>
          <w:rFonts w:asciiTheme="majorHAnsi" w:hAnsiTheme="majorHAnsi"/>
          <w:bCs/>
          <w:sz w:val="24"/>
          <w:szCs w:val="24"/>
        </w:rPr>
        <w:t xml:space="preserve"> Donald Brenner Memorial Lecture at the 15th Annual Review Of Insolvency Law Conference Vancouver, 9</w:t>
      </w:r>
      <w:r w:rsidRPr="008863A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bCs/>
          <w:sz w:val="24"/>
          <w:szCs w:val="24"/>
        </w:rPr>
        <w:t xml:space="preserve"> February 2018</w:t>
      </w:r>
    </w:p>
    <w:p w:rsidR="00FA0128" w:rsidRPr="008863A6" w:rsidRDefault="00FA0128" w:rsidP="00FA012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  <w:lang w:val="en"/>
        </w:rPr>
        <w:t>‘</w:t>
      </w:r>
      <w:r w:rsidRPr="008863A6">
        <w:rPr>
          <w:rFonts w:asciiTheme="majorHAnsi" w:hAnsiTheme="majorHAnsi"/>
          <w:i/>
          <w:sz w:val="24"/>
          <w:szCs w:val="24"/>
        </w:rPr>
        <w:t xml:space="preserve">Secured Transactions Law Reform: the view from South of the Border’ </w:t>
      </w:r>
      <w:r w:rsidRPr="008863A6">
        <w:rPr>
          <w:rFonts w:asciiTheme="majorHAnsi" w:hAnsiTheme="majorHAnsi"/>
          <w:sz w:val="24"/>
          <w:szCs w:val="24"/>
        </w:rPr>
        <w:t>Edinburgh University Centre for Commercial Law Annual lecture.  17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November 2017</w:t>
      </w:r>
    </w:p>
    <w:p w:rsidR="00592CF0" w:rsidRPr="008863A6" w:rsidRDefault="00592CF0" w:rsidP="00592CF0">
      <w:pPr>
        <w:rPr>
          <w:rFonts w:asciiTheme="majorHAnsi" w:hAnsiTheme="majorHAnsi" w:cs="Arial"/>
          <w:b/>
          <w:sz w:val="24"/>
          <w:szCs w:val="24"/>
        </w:rPr>
      </w:pPr>
    </w:p>
    <w:p w:rsidR="00592CF0" w:rsidRPr="008863A6" w:rsidRDefault="00592CF0" w:rsidP="00592CF0">
      <w:pPr>
        <w:rPr>
          <w:rFonts w:asciiTheme="majorHAnsi" w:eastAsia="Calibri" w:hAnsiTheme="majorHAnsi"/>
          <w:sz w:val="24"/>
          <w:szCs w:val="24"/>
          <w:lang w:val="en-GB"/>
        </w:rPr>
      </w:pPr>
      <w:r w:rsidRPr="008863A6">
        <w:rPr>
          <w:rFonts w:asciiTheme="majorHAnsi" w:hAnsiTheme="majorHAnsi" w:cs="Arial"/>
          <w:i/>
          <w:sz w:val="24"/>
          <w:szCs w:val="24"/>
        </w:rPr>
        <w:t xml:space="preserve">‘Reflections on the UNCITRAL Model law’  </w:t>
      </w:r>
      <w:r w:rsidRPr="008863A6">
        <w:rPr>
          <w:rFonts w:asciiTheme="majorHAnsi" w:hAnsiTheme="majorHAnsi" w:cs="Arial"/>
          <w:sz w:val="24"/>
          <w:szCs w:val="24"/>
        </w:rPr>
        <w:t>9</w:t>
      </w:r>
      <w:r w:rsidRPr="008863A6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 w:cs="Arial"/>
          <w:sz w:val="24"/>
          <w:szCs w:val="24"/>
        </w:rPr>
        <w:t xml:space="preserve"> </w:t>
      </w:r>
      <w:r w:rsidRPr="008863A6">
        <w:rPr>
          <w:rFonts w:asciiTheme="majorHAnsi" w:eastAsia="Calibri" w:hAnsiTheme="majorHAnsi"/>
          <w:sz w:val="24"/>
          <w:szCs w:val="24"/>
          <w:lang w:val="en-GB"/>
        </w:rPr>
        <w:t xml:space="preserve">Transnational Commercial Law Teachers’ Meeting - ‘Transnational Commercial Law and Natural Resources’, </w:t>
      </w:r>
      <w:proofErr w:type="spellStart"/>
      <w:r w:rsidRPr="008863A6">
        <w:rPr>
          <w:rFonts w:asciiTheme="majorHAnsi" w:eastAsia="Calibri" w:hAnsiTheme="majorHAnsi"/>
          <w:sz w:val="24"/>
          <w:szCs w:val="24"/>
          <w:lang w:val="en-GB"/>
        </w:rPr>
        <w:t>Radboud</w:t>
      </w:r>
      <w:proofErr w:type="spellEnd"/>
      <w:r w:rsidRPr="008863A6">
        <w:rPr>
          <w:rFonts w:asciiTheme="majorHAnsi" w:eastAsia="Calibri" w:hAnsiTheme="majorHAnsi"/>
          <w:sz w:val="24"/>
          <w:szCs w:val="24"/>
          <w:lang w:val="en-GB"/>
        </w:rPr>
        <w:t xml:space="preserve"> University, Nijmegen, 2</w:t>
      </w:r>
      <w:r w:rsidRPr="008863A6">
        <w:rPr>
          <w:rFonts w:asciiTheme="majorHAnsi" w:eastAsia="Calibri" w:hAnsiTheme="majorHAnsi"/>
          <w:sz w:val="24"/>
          <w:szCs w:val="24"/>
          <w:vertAlign w:val="superscript"/>
          <w:lang w:val="en-GB"/>
        </w:rPr>
        <w:t>nd</w:t>
      </w:r>
      <w:r w:rsidRPr="008863A6">
        <w:rPr>
          <w:rFonts w:asciiTheme="majorHAnsi" w:eastAsia="Calibri" w:hAnsiTheme="majorHAnsi"/>
          <w:sz w:val="24"/>
          <w:szCs w:val="24"/>
          <w:lang w:val="en-GB"/>
        </w:rPr>
        <w:t xml:space="preserve">  November 2017</w:t>
      </w:r>
    </w:p>
    <w:p w:rsidR="00592CF0" w:rsidRPr="008863A6" w:rsidRDefault="00592CF0" w:rsidP="00FA0128">
      <w:pPr>
        <w:rPr>
          <w:rFonts w:asciiTheme="majorHAnsi" w:hAnsiTheme="majorHAnsi"/>
          <w:sz w:val="24"/>
          <w:szCs w:val="24"/>
        </w:rPr>
      </w:pPr>
    </w:p>
    <w:p w:rsidR="00FA0128" w:rsidRPr="008863A6" w:rsidRDefault="00FA0128" w:rsidP="00FA0128">
      <w:pPr>
        <w:rPr>
          <w:rFonts w:asciiTheme="majorHAnsi" w:hAnsiTheme="majorHAnsi"/>
          <w:bCs/>
          <w:sz w:val="24"/>
          <w:szCs w:val="24"/>
        </w:rPr>
      </w:pPr>
      <w:r w:rsidRPr="008863A6">
        <w:rPr>
          <w:rFonts w:asciiTheme="majorHAnsi" w:hAnsiTheme="majorHAnsi"/>
          <w:bCs/>
          <w:i/>
          <w:sz w:val="24"/>
          <w:szCs w:val="24"/>
        </w:rPr>
        <w:t xml:space="preserve">‘Sales’ on retention of title terms: A tale of Caterpillars, Bunkers and the Supreme Court’ </w:t>
      </w:r>
      <w:r w:rsidRPr="008863A6">
        <w:rPr>
          <w:rFonts w:asciiTheme="majorHAnsi" w:hAnsiTheme="majorHAnsi"/>
          <w:bCs/>
          <w:sz w:val="24"/>
          <w:szCs w:val="24"/>
        </w:rPr>
        <w:t>Inner Temple Reader’s Lecture, 9</w:t>
      </w:r>
      <w:r w:rsidRPr="008863A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bCs/>
          <w:sz w:val="24"/>
          <w:szCs w:val="24"/>
        </w:rPr>
        <w:t xml:space="preserve"> October 2017</w:t>
      </w:r>
    </w:p>
    <w:p w:rsidR="00BB124D" w:rsidRPr="008863A6" w:rsidRDefault="00BB124D" w:rsidP="00FA0128">
      <w:pPr>
        <w:rPr>
          <w:rFonts w:asciiTheme="majorHAnsi" w:hAnsiTheme="majorHAnsi"/>
          <w:bCs/>
          <w:sz w:val="24"/>
          <w:szCs w:val="24"/>
        </w:rPr>
      </w:pPr>
    </w:p>
    <w:p w:rsidR="00BB124D" w:rsidRPr="008863A6" w:rsidRDefault="00BB124D" w:rsidP="00FA012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bCs/>
          <w:i/>
          <w:sz w:val="24"/>
          <w:szCs w:val="24"/>
        </w:rPr>
        <w:t>‘</w:t>
      </w:r>
      <w:r w:rsidRPr="008863A6">
        <w:rPr>
          <w:rFonts w:asciiTheme="majorHAnsi" w:hAnsiTheme="majorHAnsi" w:cs="Calibri"/>
          <w:i/>
          <w:sz w:val="24"/>
          <w:szCs w:val="24"/>
        </w:rPr>
        <w:t xml:space="preserve">The effect of Brexit on English commercial law’ </w:t>
      </w:r>
      <w:r w:rsidRPr="008863A6">
        <w:rPr>
          <w:rFonts w:asciiTheme="majorHAnsi" w:hAnsiTheme="majorHAnsi" w:cs="Calibri"/>
          <w:sz w:val="24"/>
          <w:szCs w:val="24"/>
        </w:rPr>
        <w:t xml:space="preserve">at </w:t>
      </w:r>
      <w:r w:rsidRPr="008863A6">
        <w:rPr>
          <w:rFonts w:asciiTheme="majorHAnsi" w:hAnsiTheme="majorHAnsi"/>
          <w:sz w:val="24"/>
          <w:szCs w:val="24"/>
        </w:rPr>
        <w:t>Universidad Carlos III, Madrid, 20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September 2017</w:t>
      </w:r>
    </w:p>
    <w:p w:rsidR="00592CF0" w:rsidRPr="008863A6" w:rsidRDefault="00592CF0" w:rsidP="00FA0128">
      <w:pPr>
        <w:rPr>
          <w:rFonts w:asciiTheme="majorHAnsi" w:hAnsiTheme="majorHAnsi"/>
          <w:sz w:val="24"/>
          <w:szCs w:val="24"/>
        </w:rPr>
      </w:pPr>
    </w:p>
    <w:p w:rsidR="00D65975" w:rsidRPr="008863A6" w:rsidRDefault="00D65975" w:rsidP="00FA012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‘The English law of secured transactions: the way forward’ </w:t>
      </w:r>
      <w:r w:rsidRPr="008863A6">
        <w:rPr>
          <w:rFonts w:asciiTheme="majorHAnsi" w:hAnsiTheme="majorHAnsi"/>
          <w:sz w:val="24"/>
          <w:szCs w:val="24"/>
        </w:rPr>
        <w:t>Clifford Chance academic series, 4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July 2017</w:t>
      </w:r>
    </w:p>
    <w:p w:rsidR="00D65975" w:rsidRPr="008863A6" w:rsidRDefault="00D65975" w:rsidP="00FA0128">
      <w:pPr>
        <w:rPr>
          <w:rFonts w:asciiTheme="majorHAnsi" w:hAnsiTheme="majorHAnsi"/>
          <w:i/>
          <w:sz w:val="24"/>
          <w:szCs w:val="24"/>
        </w:rPr>
      </w:pPr>
    </w:p>
    <w:p w:rsidR="00592CF0" w:rsidRPr="008863A6" w:rsidRDefault="00592CF0" w:rsidP="00592CF0">
      <w:pPr>
        <w:autoSpaceDE w:val="0"/>
        <w:autoSpaceDN w:val="0"/>
        <w:adjustRightInd w:val="0"/>
        <w:rPr>
          <w:rFonts w:asciiTheme="majorHAnsi" w:hAnsiTheme="majorHAnsi"/>
          <w:bCs/>
          <w:sz w:val="24"/>
          <w:szCs w:val="24"/>
        </w:rPr>
      </w:pPr>
      <w:r w:rsidRPr="008863A6">
        <w:rPr>
          <w:rFonts w:asciiTheme="majorHAnsi" w:hAnsiTheme="majorHAnsi" w:cs="Kievit-Bold"/>
          <w:bCs/>
          <w:i/>
          <w:sz w:val="24"/>
          <w:szCs w:val="24"/>
          <w:lang w:val="en-GB" w:eastAsia="en-GB"/>
        </w:rPr>
        <w:t xml:space="preserve">“The ‘why’ and ‘how’ of secured transactions law reform: here, there or everywhere?” </w:t>
      </w:r>
      <w:r w:rsidRPr="008863A6">
        <w:rPr>
          <w:rFonts w:asciiTheme="majorHAnsi" w:hAnsiTheme="majorHAnsi" w:cs="Kievit-Bold"/>
          <w:bCs/>
          <w:sz w:val="24"/>
          <w:szCs w:val="24"/>
          <w:lang w:val="en-GB" w:eastAsia="en-GB"/>
        </w:rPr>
        <w:t xml:space="preserve">Inaugural lecture at </w:t>
      </w:r>
      <w:proofErr w:type="spellStart"/>
      <w:r w:rsidRPr="008863A6">
        <w:rPr>
          <w:rFonts w:asciiTheme="majorHAnsi" w:hAnsiTheme="majorHAnsi" w:cs="Kievit-Bold"/>
          <w:bCs/>
          <w:sz w:val="24"/>
          <w:szCs w:val="24"/>
          <w:lang w:val="en-GB" w:eastAsia="en-GB"/>
        </w:rPr>
        <w:t>Radboud</w:t>
      </w:r>
      <w:proofErr w:type="spellEnd"/>
      <w:r w:rsidRPr="008863A6">
        <w:rPr>
          <w:rFonts w:asciiTheme="majorHAnsi" w:hAnsiTheme="majorHAnsi" w:cs="Kievit-Bold"/>
          <w:bCs/>
          <w:sz w:val="24"/>
          <w:szCs w:val="24"/>
          <w:lang w:val="en-GB" w:eastAsia="en-GB"/>
        </w:rPr>
        <w:t xml:space="preserve"> University, Nijmegen, 12</w:t>
      </w:r>
      <w:r w:rsidRPr="008863A6">
        <w:rPr>
          <w:rFonts w:asciiTheme="majorHAnsi" w:hAnsiTheme="majorHAnsi" w:cs="Kievit-Bold"/>
          <w:bCs/>
          <w:sz w:val="24"/>
          <w:szCs w:val="24"/>
          <w:vertAlign w:val="superscript"/>
          <w:lang w:val="en-GB" w:eastAsia="en-GB"/>
        </w:rPr>
        <w:t>th</w:t>
      </w:r>
      <w:r w:rsidRPr="008863A6">
        <w:rPr>
          <w:rFonts w:asciiTheme="majorHAnsi" w:hAnsiTheme="majorHAnsi" w:cs="Kievit-Bold"/>
          <w:bCs/>
          <w:sz w:val="24"/>
          <w:szCs w:val="24"/>
          <w:lang w:val="en-GB" w:eastAsia="en-GB"/>
        </w:rPr>
        <w:t xml:space="preserve"> June 2017</w:t>
      </w:r>
    </w:p>
    <w:p w:rsidR="00671259" w:rsidRPr="008863A6" w:rsidRDefault="00671259" w:rsidP="00FA0128">
      <w:pPr>
        <w:rPr>
          <w:rFonts w:asciiTheme="majorHAnsi" w:hAnsiTheme="majorHAnsi"/>
          <w:bCs/>
          <w:sz w:val="24"/>
          <w:szCs w:val="24"/>
        </w:rPr>
      </w:pPr>
    </w:p>
    <w:p w:rsidR="00671259" w:rsidRPr="008863A6" w:rsidRDefault="00671259" w:rsidP="00FA012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bCs/>
          <w:sz w:val="24"/>
          <w:szCs w:val="24"/>
        </w:rPr>
        <w:t>‘</w:t>
      </w:r>
      <w:r w:rsidRPr="008863A6">
        <w:rPr>
          <w:rFonts w:asciiTheme="majorHAnsi" w:hAnsiTheme="majorHAnsi"/>
          <w:bCs/>
          <w:i/>
          <w:sz w:val="24"/>
          <w:szCs w:val="24"/>
        </w:rPr>
        <w:t xml:space="preserve">Taking security over innovative </w:t>
      </w:r>
      <w:proofErr w:type="gramStart"/>
      <w:r w:rsidRPr="008863A6">
        <w:rPr>
          <w:rFonts w:asciiTheme="majorHAnsi" w:hAnsiTheme="majorHAnsi"/>
          <w:bCs/>
          <w:i/>
          <w:sz w:val="24"/>
          <w:szCs w:val="24"/>
        </w:rPr>
        <w:t xml:space="preserve">assets’ </w:t>
      </w:r>
      <w:r w:rsidR="00863008" w:rsidRPr="008863A6">
        <w:rPr>
          <w:rFonts w:asciiTheme="majorHAnsi" w:hAnsiTheme="majorHAnsi"/>
          <w:bCs/>
          <w:i/>
          <w:sz w:val="24"/>
          <w:szCs w:val="24"/>
        </w:rPr>
        <w:t xml:space="preserve"> </w:t>
      </w:r>
      <w:r w:rsidR="00863008" w:rsidRPr="008863A6">
        <w:rPr>
          <w:rFonts w:asciiTheme="majorHAnsi" w:hAnsiTheme="majorHAnsi"/>
          <w:sz w:val="24"/>
          <w:szCs w:val="24"/>
        </w:rPr>
        <w:t>The</w:t>
      </w:r>
      <w:proofErr w:type="gramEnd"/>
      <w:r w:rsidR="00863008" w:rsidRPr="008863A6">
        <w:rPr>
          <w:rFonts w:asciiTheme="majorHAnsi" w:hAnsiTheme="majorHAnsi"/>
          <w:sz w:val="24"/>
          <w:szCs w:val="24"/>
        </w:rPr>
        <w:t xml:space="preserve"> future of commercial law: ways forward for harmonization, Durham Law School, 27</w:t>
      </w:r>
      <w:r w:rsidR="00863008"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="00863008" w:rsidRPr="008863A6">
        <w:rPr>
          <w:rFonts w:asciiTheme="majorHAnsi" w:hAnsiTheme="majorHAnsi"/>
          <w:sz w:val="24"/>
          <w:szCs w:val="24"/>
        </w:rPr>
        <w:t xml:space="preserve"> – 28</w:t>
      </w:r>
      <w:r w:rsidR="00863008"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="00863008" w:rsidRPr="008863A6">
        <w:rPr>
          <w:rFonts w:asciiTheme="majorHAnsi" w:hAnsiTheme="majorHAnsi"/>
          <w:sz w:val="24"/>
          <w:szCs w:val="24"/>
        </w:rPr>
        <w:t xml:space="preserve"> February 2017</w:t>
      </w:r>
    </w:p>
    <w:p w:rsidR="00CB5C08" w:rsidRPr="008863A6" w:rsidRDefault="00CB5C08" w:rsidP="00FA0128">
      <w:pPr>
        <w:rPr>
          <w:rFonts w:asciiTheme="majorHAnsi" w:hAnsiTheme="majorHAnsi"/>
          <w:sz w:val="24"/>
          <w:szCs w:val="24"/>
        </w:rPr>
      </w:pPr>
    </w:p>
    <w:p w:rsidR="00CB5C08" w:rsidRPr="008863A6" w:rsidRDefault="00CB5C08" w:rsidP="00FA012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‘Reflections on the conference’ </w:t>
      </w:r>
      <w:r w:rsidRPr="008863A6">
        <w:rPr>
          <w:rFonts w:asciiTheme="majorHAnsi" w:hAnsiTheme="majorHAnsi"/>
          <w:sz w:val="24"/>
          <w:szCs w:val="24"/>
        </w:rPr>
        <w:t>Secured Transactions Coordination Conference, University of Pennsylvania, 9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-10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February 2017</w:t>
      </w:r>
    </w:p>
    <w:p w:rsidR="00246327" w:rsidRPr="008863A6" w:rsidRDefault="00246327" w:rsidP="00FA0128">
      <w:pPr>
        <w:rPr>
          <w:rFonts w:asciiTheme="majorHAnsi" w:hAnsiTheme="majorHAnsi"/>
          <w:sz w:val="24"/>
          <w:szCs w:val="24"/>
        </w:rPr>
      </w:pPr>
    </w:p>
    <w:p w:rsidR="00246327" w:rsidRPr="008863A6" w:rsidRDefault="00246327" w:rsidP="00FA012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bCs/>
          <w:i/>
          <w:sz w:val="24"/>
          <w:szCs w:val="24"/>
        </w:rPr>
        <w:t xml:space="preserve">‘Sales’ on retention of title terms: A tale of Caterpillars, Bunkers and the Supreme Court’ </w:t>
      </w:r>
      <w:r w:rsidRPr="008863A6">
        <w:rPr>
          <w:rFonts w:asciiTheme="majorHAnsi" w:hAnsiTheme="majorHAnsi"/>
          <w:bCs/>
          <w:sz w:val="24"/>
          <w:szCs w:val="24"/>
        </w:rPr>
        <w:t>SLS conference, September 2016</w:t>
      </w:r>
    </w:p>
    <w:p w:rsidR="00FA0128" w:rsidRPr="008863A6" w:rsidRDefault="00FA0128" w:rsidP="00FA0128">
      <w:pPr>
        <w:rPr>
          <w:rFonts w:asciiTheme="majorHAnsi" w:hAnsiTheme="majorHAnsi"/>
          <w:i/>
          <w:sz w:val="24"/>
          <w:szCs w:val="24"/>
          <w:lang w:val="en"/>
        </w:rPr>
      </w:pPr>
    </w:p>
    <w:p w:rsidR="00CA4677" w:rsidRPr="008863A6" w:rsidRDefault="00CA4677" w:rsidP="0043333C">
      <w:pPr>
        <w:rPr>
          <w:rFonts w:asciiTheme="majorHAnsi" w:hAnsiTheme="majorHAnsi"/>
          <w:sz w:val="24"/>
          <w:szCs w:val="24"/>
          <w:lang w:val="en"/>
        </w:rPr>
      </w:pPr>
      <w:r w:rsidRPr="008863A6">
        <w:rPr>
          <w:rFonts w:asciiTheme="majorHAnsi" w:hAnsiTheme="majorHAnsi"/>
          <w:i/>
          <w:sz w:val="24"/>
          <w:szCs w:val="24"/>
          <w:lang w:val="en"/>
        </w:rPr>
        <w:t>'Sales' on Retention of Title: Is the English Law Analysis Broken?</w:t>
      </w:r>
      <w:r w:rsidRPr="008863A6">
        <w:rPr>
          <w:rFonts w:asciiTheme="majorHAnsi" w:hAnsiTheme="majorHAnsi"/>
          <w:sz w:val="24"/>
          <w:szCs w:val="24"/>
          <w:lang w:val="en"/>
        </w:rPr>
        <w:t xml:space="preserve">   Kwa </w:t>
      </w:r>
      <w:proofErr w:type="spellStart"/>
      <w:r w:rsidRPr="008863A6">
        <w:rPr>
          <w:rFonts w:asciiTheme="majorHAnsi" w:hAnsiTheme="majorHAnsi"/>
          <w:sz w:val="24"/>
          <w:szCs w:val="24"/>
          <w:lang w:val="en"/>
        </w:rPr>
        <w:t>Geok</w:t>
      </w:r>
      <w:proofErr w:type="spellEnd"/>
      <w:r w:rsidRPr="008863A6">
        <w:rPr>
          <w:rFonts w:asciiTheme="majorHAnsi" w:hAnsiTheme="majorHAnsi"/>
          <w:sz w:val="24"/>
          <w:szCs w:val="24"/>
          <w:lang w:val="en"/>
        </w:rPr>
        <w:t xml:space="preserve"> Choo Distinguished Visitors Lecture at the National University of Singapore Law School.  </w:t>
      </w:r>
      <w:r w:rsidR="00FA0128" w:rsidRPr="008863A6">
        <w:rPr>
          <w:rFonts w:asciiTheme="majorHAnsi" w:hAnsiTheme="majorHAnsi"/>
          <w:sz w:val="24"/>
          <w:szCs w:val="24"/>
          <w:lang w:val="en"/>
        </w:rPr>
        <w:t>23</w:t>
      </w:r>
      <w:r w:rsidR="00FA0128" w:rsidRPr="008863A6">
        <w:rPr>
          <w:rFonts w:asciiTheme="majorHAnsi" w:hAnsiTheme="majorHAnsi"/>
          <w:sz w:val="24"/>
          <w:szCs w:val="24"/>
          <w:vertAlign w:val="superscript"/>
          <w:lang w:val="en"/>
        </w:rPr>
        <w:t>rd</w:t>
      </w:r>
      <w:r w:rsidR="00FA0128" w:rsidRPr="008863A6">
        <w:rPr>
          <w:rFonts w:asciiTheme="majorHAnsi" w:hAnsiTheme="majorHAnsi"/>
          <w:sz w:val="24"/>
          <w:szCs w:val="24"/>
          <w:lang w:val="en"/>
        </w:rPr>
        <w:t xml:space="preserve"> August 2016</w:t>
      </w:r>
    </w:p>
    <w:p w:rsidR="00592CF0" w:rsidRPr="008863A6" w:rsidRDefault="00592CF0" w:rsidP="0043333C">
      <w:pPr>
        <w:rPr>
          <w:rFonts w:asciiTheme="majorHAnsi" w:hAnsiTheme="majorHAnsi"/>
          <w:sz w:val="24"/>
          <w:szCs w:val="24"/>
          <w:lang w:val="en"/>
        </w:rPr>
      </w:pPr>
    </w:p>
    <w:p w:rsidR="00592CF0" w:rsidRPr="008863A6" w:rsidRDefault="00592CF0" w:rsidP="0043333C">
      <w:pPr>
        <w:rPr>
          <w:rFonts w:asciiTheme="majorHAnsi" w:hAnsiTheme="majorHAnsi"/>
          <w:bCs/>
          <w:sz w:val="24"/>
          <w:szCs w:val="24"/>
        </w:rPr>
      </w:pPr>
      <w:r w:rsidRPr="008863A6">
        <w:rPr>
          <w:rFonts w:asciiTheme="majorHAnsi" w:hAnsiTheme="majorHAnsi"/>
          <w:bCs/>
          <w:i/>
          <w:sz w:val="24"/>
          <w:szCs w:val="24"/>
        </w:rPr>
        <w:t xml:space="preserve">‘Effects of Assignment of a Contract on the Counterparty: Problems of Set-off and Contractual </w:t>
      </w:r>
      <w:proofErr w:type="gramStart"/>
      <w:r w:rsidRPr="008863A6">
        <w:rPr>
          <w:rFonts w:asciiTheme="majorHAnsi" w:hAnsiTheme="majorHAnsi"/>
          <w:bCs/>
          <w:i/>
          <w:sz w:val="24"/>
          <w:szCs w:val="24"/>
        </w:rPr>
        <w:t xml:space="preserve">Variation’  </w:t>
      </w:r>
      <w:r w:rsidRPr="008863A6">
        <w:rPr>
          <w:rFonts w:asciiTheme="majorHAnsi" w:hAnsiTheme="majorHAnsi"/>
          <w:bCs/>
          <w:sz w:val="24"/>
          <w:szCs w:val="24"/>
        </w:rPr>
        <w:t>CPD</w:t>
      </w:r>
      <w:proofErr w:type="gramEnd"/>
      <w:r w:rsidRPr="008863A6">
        <w:rPr>
          <w:rFonts w:asciiTheme="majorHAnsi" w:hAnsiTheme="majorHAnsi"/>
          <w:bCs/>
          <w:sz w:val="24"/>
          <w:szCs w:val="24"/>
        </w:rPr>
        <w:t xml:space="preserve"> seminar, NUS, August 2016 </w:t>
      </w:r>
    </w:p>
    <w:p w:rsidR="00FE48EE" w:rsidRPr="008863A6" w:rsidRDefault="00FE48EE" w:rsidP="0043333C">
      <w:pPr>
        <w:rPr>
          <w:rFonts w:asciiTheme="majorHAnsi" w:hAnsiTheme="majorHAnsi"/>
          <w:bCs/>
          <w:sz w:val="24"/>
          <w:szCs w:val="24"/>
        </w:rPr>
      </w:pPr>
    </w:p>
    <w:p w:rsidR="00FE48EE" w:rsidRPr="008863A6" w:rsidRDefault="00FE48EE" w:rsidP="0043333C">
      <w:pPr>
        <w:rPr>
          <w:rFonts w:asciiTheme="majorHAnsi" w:hAnsiTheme="majorHAnsi"/>
          <w:sz w:val="24"/>
          <w:szCs w:val="24"/>
          <w:lang w:val="en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‘The English law of secured transactions: the way forward’ </w:t>
      </w:r>
      <w:r w:rsidRPr="008863A6">
        <w:rPr>
          <w:rFonts w:asciiTheme="majorHAnsi" w:hAnsiTheme="majorHAnsi"/>
          <w:sz w:val="24"/>
          <w:szCs w:val="24"/>
        </w:rPr>
        <w:t>Commercial Finance Association Annual Conference, 11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May 2016</w:t>
      </w:r>
    </w:p>
    <w:p w:rsidR="00CA4677" w:rsidRPr="008863A6" w:rsidRDefault="00CA4677" w:rsidP="0043333C">
      <w:pPr>
        <w:rPr>
          <w:rFonts w:asciiTheme="majorHAnsi" w:hAnsiTheme="majorHAnsi"/>
          <w:sz w:val="24"/>
          <w:szCs w:val="24"/>
          <w:lang w:val="en"/>
        </w:rPr>
      </w:pPr>
    </w:p>
    <w:p w:rsidR="0043333C" w:rsidRPr="008863A6" w:rsidRDefault="0043333C" w:rsidP="0043333C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Chair, Insolvency Lawyers Association conference academic forum </w:t>
      </w:r>
      <w:r w:rsidRPr="008863A6">
        <w:rPr>
          <w:rFonts w:asciiTheme="majorHAnsi" w:hAnsiTheme="majorHAnsi"/>
          <w:sz w:val="24"/>
          <w:szCs w:val="24"/>
        </w:rPr>
        <w:t>April 201</w:t>
      </w:r>
      <w:r w:rsidR="00CA4677" w:rsidRPr="008863A6">
        <w:rPr>
          <w:rFonts w:asciiTheme="majorHAnsi" w:hAnsiTheme="majorHAnsi"/>
          <w:sz w:val="24"/>
          <w:szCs w:val="24"/>
        </w:rPr>
        <w:t>6</w:t>
      </w:r>
    </w:p>
    <w:p w:rsidR="0043333C" w:rsidRPr="008863A6" w:rsidRDefault="0043333C" w:rsidP="00EA4CDE">
      <w:pPr>
        <w:rPr>
          <w:rFonts w:asciiTheme="majorHAnsi" w:hAnsiTheme="majorHAnsi"/>
          <w:i/>
          <w:sz w:val="24"/>
          <w:szCs w:val="24"/>
        </w:rPr>
      </w:pPr>
    </w:p>
    <w:p w:rsidR="00EA4CDE" w:rsidRPr="008863A6" w:rsidRDefault="00EA4CDE" w:rsidP="00EA4CDE">
      <w:pPr>
        <w:rPr>
          <w:rFonts w:asciiTheme="majorHAnsi" w:hAnsiTheme="majorHAnsi"/>
          <w:i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The English Law of Secured Transactions: The Way Forward? </w:t>
      </w:r>
      <w:r w:rsidRPr="008863A6">
        <w:rPr>
          <w:rFonts w:asciiTheme="majorHAnsi" w:hAnsiTheme="majorHAnsi"/>
          <w:bCs/>
          <w:sz w:val="24"/>
          <w:szCs w:val="24"/>
        </w:rPr>
        <w:t xml:space="preserve">Reforming Secured Transactions Laws in the UK - International Standards and National </w:t>
      </w:r>
      <w:proofErr w:type="gramStart"/>
      <w:r w:rsidRPr="008863A6">
        <w:rPr>
          <w:rFonts w:asciiTheme="majorHAnsi" w:hAnsiTheme="majorHAnsi"/>
          <w:bCs/>
          <w:sz w:val="24"/>
          <w:szCs w:val="24"/>
        </w:rPr>
        <w:t>Approaches :</w:t>
      </w:r>
      <w:proofErr w:type="gramEnd"/>
      <w:r w:rsidRPr="008863A6">
        <w:rPr>
          <w:rFonts w:asciiTheme="majorHAnsi" w:hAnsiTheme="majorHAnsi"/>
          <w:bCs/>
          <w:sz w:val="24"/>
          <w:szCs w:val="24"/>
        </w:rPr>
        <w:t xml:space="preserve"> Warwick Law School</w:t>
      </w:r>
      <w:r w:rsidR="0043333C" w:rsidRPr="008863A6">
        <w:rPr>
          <w:rFonts w:asciiTheme="majorHAnsi" w:hAnsiTheme="majorHAnsi"/>
          <w:bCs/>
          <w:sz w:val="24"/>
          <w:szCs w:val="24"/>
        </w:rPr>
        <w:t xml:space="preserve"> December 2015</w:t>
      </w:r>
    </w:p>
    <w:p w:rsidR="00EA4CDE" w:rsidRPr="008863A6" w:rsidRDefault="00EA4CDE" w:rsidP="00EA4CDE">
      <w:pPr>
        <w:jc w:val="both"/>
        <w:rPr>
          <w:rFonts w:asciiTheme="majorHAnsi" w:hAnsiTheme="majorHAnsi"/>
          <w:i/>
          <w:sz w:val="24"/>
          <w:szCs w:val="24"/>
        </w:rPr>
      </w:pPr>
    </w:p>
    <w:p w:rsidR="00EA4CDE" w:rsidRPr="008863A6" w:rsidRDefault="00EA4CDE" w:rsidP="00EA4CDE">
      <w:pPr>
        <w:jc w:val="both"/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The English Law of Secured Transactions: The Way Forward? </w:t>
      </w:r>
      <w:r w:rsidRPr="008863A6">
        <w:rPr>
          <w:rFonts w:asciiTheme="majorHAnsi" w:hAnsiTheme="majorHAnsi"/>
          <w:sz w:val="24"/>
          <w:szCs w:val="24"/>
        </w:rPr>
        <w:t>CESL International Symposium Central European University in Budapest, Hungary, 25 September 2015.</w:t>
      </w:r>
    </w:p>
    <w:p w:rsidR="00EA4CDE" w:rsidRPr="008863A6" w:rsidRDefault="00EA4CDE" w:rsidP="00280901">
      <w:pPr>
        <w:rPr>
          <w:rFonts w:asciiTheme="majorHAnsi" w:hAnsiTheme="majorHAnsi"/>
          <w:sz w:val="24"/>
          <w:szCs w:val="24"/>
        </w:rPr>
      </w:pPr>
    </w:p>
    <w:p w:rsidR="00EA4CDE" w:rsidRPr="008863A6" w:rsidRDefault="00EA4CDE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Flawed Assets </w:t>
      </w:r>
      <w:r w:rsidRPr="008863A6">
        <w:rPr>
          <w:rFonts w:asciiTheme="majorHAnsi" w:hAnsiTheme="majorHAnsi"/>
          <w:sz w:val="24"/>
          <w:szCs w:val="24"/>
        </w:rPr>
        <w:t>conference on commercial remedies, Trinity College, Cambridge, July 2015</w:t>
      </w:r>
    </w:p>
    <w:p w:rsidR="00EA4CDE" w:rsidRPr="008863A6" w:rsidRDefault="00EA4CDE" w:rsidP="00280901">
      <w:pPr>
        <w:rPr>
          <w:rFonts w:asciiTheme="majorHAnsi" w:hAnsiTheme="majorHAnsi"/>
          <w:sz w:val="24"/>
          <w:szCs w:val="24"/>
        </w:rPr>
      </w:pPr>
    </w:p>
    <w:p w:rsidR="00EA4CDE" w:rsidRPr="008863A6" w:rsidRDefault="00EA4CDE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Registration of security interests under English law: the present law and future reform </w:t>
      </w:r>
      <w:r w:rsidRPr="008863A6">
        <w:rPr>
          <w:rFonts w:asciiTheme="majorHAnsi" w:hAnsiTheme="majorHAnsi"/>
          <w:sz w:val="24"/>
          <w:szCs w:val="24"/>
        </w:rPr>
        <w:t>Madrid conference of registrars, 10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June 2015</w:t>
      </w:r>
    </w:p>
    <w:p w:rsidR="0043333C" w:rsidRPr="008863A6" w:rsidRDefault="0043333C" w:rsidP="00280901">
      <w:pPr>
        <w:rPr>
          <w:rFonts w:asciiTheme="majorHAnsi" w:hAnsiTheme="majorHAnsi"/>
          <w:sz w:val="24"/>
          <w:szCs w:val="24"/>
        </w:rPr>
      </w:pPr>
    </w:p>
    <w:p w:rsidR="0043333C" w:rsidRPr="008863A6" w:rsidRDefault="0043333C" w:rsidP="0043333C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Chair, Insolvency Lawyers Association conference academic forum </w:t>
      </w:r>
      <w:r w:rsidRPr="008863A6">
        <w:rPr>
          <w:rFonts w:asciiTheme="majorHAnsi" w:hAnsiTheme="majorHAnsi"/>
          <w:sz w:val="24"/>
          <w:szCs w:val="24"/>
        </w:rPr>
        <w:t>April 2015</w:t>
      </w:r>
    </w:p>
    <w:p w:rsidR="0043333C" w:rsidRPr="008863A6" w:rsidRDefault="0043333C" w:rsidP="0043333C">
      <w:pPr>
        <w:rPr>
          <w:rFonts w:asciiTheme="majorHAnsi" w:hAnsiTheme="majorHAnsi"/>
          <w:sz w:val="24"/>
          <w:szCs w:val="24"/>
        </w:rPr>
      </w:pPr>
    </w:p>
    <w:p w:rsidR="007B3E38" w:rsidRPr="008863A6" w:rsidRDefault="000A33EF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The interpretation of retention of title clauses: has the Court of Appeal got it wrong in </w:t>
      </w:r>
      <w:r w:rsidRPr="008863A6">
        <w:rPr>
          <w:rFonts w:asciiTheme="majorHAnsi" w:hAnsiTheme="majorHAnsi"/>
          <w:i/>
          <w:iCs/>
          <w:sz w:val="24"/>
          <w:szCs w:val="24"/>
        </w:rPr>
        <w:t>Wilson v Holt</w:t>
      </w:r>
      <w:r w:rsidRPr="008863A6">
        <w:rPr>
          <w:rFonts w:asciiTheme="majorHAnsi" w:hAnsiTheme="majorHAnsi"/>
          <w:i/>
          <w:sz w:val="24"/>
          <w:szCs w:val="24"/>
        </w:rPr>
        <w:t xml:space="preserve">?  </w:t>
      </w:r>
      <w:r w:rsidRPr="008863A6">
        <w:rPr>
          <w:rFonts w:asciiTheme="majorHAnsi" w:hAnsiTheme="majorHAnsi"/>
          <w:sz w:val="24"/>
          <w:szCs w:val="24"/>
        </w:rPr>
        <w:t xml:space="preserve">Hong Kong City University, </w:t>
      </w:r>
      <w:r w:rsidR="007B3E38" w:rsidRPr="008863A6">
        <w:rPr>
          <w:rFonts w:asciiTheme="majorHAnsi" w:hAnsiTheme="majorHAnsi"/>
          <w:sz w:val="24"/>
          <w:szCs w:val="24"/>
        </w:rPr>
        <w:t>27</w:t>
      </w:r>
      <w:r w:rsidR="007B3E38"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="007B3E38" w:rsidRPr="008863A6">
        <w:rPr>
          <w:rFonts w:asciiTheme="majorHAnsi" w:hAnsiTheme="majorHAnsi"/>
          <w:sz w:val="24"/>
          <w:szCs w:val="24"/>
        </w:rPr>
        <w:t xml:space="preserve"> </w:t>
      </w:r>
      <w:r w:rsidRPr="008863A6">
        <w:rPr>
          <w:rFonts w:asciiTheme="majorHAnsi" w:hAnsiTheme="majorHAnsi"/>
          <w:sz w:val="24"/>
          <w:szCs w:val="24"/>
        </w:rPr>
        <w:t>September 2014</w:t>
      </w:r>
    </w:p>
    <w:p w:rsidR="00F36513" w:rsidRPr="008863A6" w:rsidRDefault="00F36513" w:rsidP="00280901">
      <w:pPr>
        <w:rPr>
          <w:rFonts w:asciiTheme="majorHAnsi" w:hAnsiTheme="majorHAnsi"/>
          <w:sz w:val="24"/>
          <w:szCs w:val="24"/>
        </w:rPr>
      </w:pPr>
    </w:p>
    <w:p w:rsidR="00F36513" w:rsidRPr="008863A6" w:rsidRDefault="00F36513" w:rsidP="00F36513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Lectures at South Central University for the Nationalities, Wuhan and East China University of Political Science and Law, Shanghai September 2014</w:t>
      </w:r>
    </w:p>
    <w:p w:rsidR="00F36513" w:rsidRPr="008863A6" w:rsidRDefault="00F36513" w:rsidP="00280901">
      <w:pPr>
        <w:rPr>
          <w:rFonts w:asciiTheme="majorHAnsi" w:hAnsiTheme="majorHAnsi"/>
          <w:sz w:val="24"/>
          <w:szCs w:val="24"/>
        </w:rPr>
      </w:pPr>
    </w:p>
    <w:p w:rsidR="007B3E38" w:rsidRPr="008863A6" w:rsidRDefault="00D65975" w:rsidP="007B3E3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>‘</w:t>
      </w:r>
      <w:r w:rsidR="007B3E38" w:rsidRPr="008863A6">
        <w:rPr>
          <w:rFonts w:asciiTheme="majorHAnsi" w:hAnsiTheme="majorHAnsi"/>
          <w:i/>
          <w:sz w:val="24"/>
          <w:szCs w:val="24"/>
        </w:rPr>
        <w:t>Should clauses prohibiting assignment be overridden by statute?</w:t>
      </w:r>
      <w:r w:rsidRPr="008863A6">
        <w:rPr>
          <w:rFonts w:asciiTheme="majorHAnsi" w:hAnsiTheme="majorHAnsi"/>
          <w:i/>
          <w:sz w:val="24"/>
          <w:szCs w:val="24"/>
        </w:rPr>
        <w:t xml:space="preserve">’ </w:t>
      </w:r>
      <w:r w:rsidR="007B3E38" w:rsidRPr="008863A6">
        <w:rPr>
          <w:rFonts w:asciiTheme="majorHAnsi" w:hAnsiTheme="majorHAnsi"/>
          <w:i/>
          <w:sz w:val="24"/>
          <w:szCs w:val="24"/>
        </w:rPr>
        <w:t xml:space="preserve"> </w:t>
      </w:r>
      <w:r w:rsidR="007B3E38" w:rsidRPr="008863A6">
        <w:rPr>
          <w:rFonts w:asciiTheme="majorHAnsi" w:hAnsiTheme="majorHAnsi"/>
          <w:sz w:val="24"/>
          <w:szCs w:val="24"/>
        </w:rPr>
        <w:t>International Academy of Commercial and Consumer Lawyers conference, Istanbul July 2014</w:t>
      </w:r>
    </w:p>
    <w:p w:rsidR="005501FA" w:rsidRPr="008863A6" w:rsidRDefault="005501FA" w:rsidP="007B3E38">
      <w:pPr>
        <w:rPr>
          <w:rFonts w:asciiTheme="majorHAnsi" w:hAnsiTheme="majorHAnsi"/>
          <w:sz w:val="24"/>
          <w:szCs w:val="24"/>
        </w:rPr>
      </w:pPr>
    </w:p>
    <w:p w:rsidR="005501FA" w:rsidRPr="008863A6" w:rsidRDefault="005501FA" w:rsidP="007B3E38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The Stone Rolls On – Corporate Guilt in 2014 </w:t>
      </w:r>
      <w:r w:rsidRPr="008863A6">
        <w:rPr>
          <w:rFonts w:asciiTheme="majorHAnsi" w:hAnsiTheme="majorHAnsi"/>
          <w:sz w:val="24"/>
          <w:szCs w:val="24"/>
        </w:rPr>
        <w:t>Chancery Bar Association summer conference. June 2014</w:t>
      </w:r>
    </w:p>
    <w:p w:rsidR="007B3E38" w:rsidRPr="008863A6" w:rsidRDefault="007B3E38" w:rsidP="007B3E38">
      <w:pPr>
        <w:rPr>
          <w:rFonts w:asciiTheme="majorHAnsi" w:hAnsiTheme="majorHAnsi"/>
          <w:i/>
          <w:sz w:val="24"/>
          <w:szCs w:val="24"/>
        </w:rPr>
      </w:pPr>
    </w:p>
    <w:p w:rsidR="007B3E38" w:rsidRPr="008863A6" w:rsidRDefault="007B3E38" w:rsidP="00280901">
      <w:pPr>
        <w:rPr>
          <w:rFonts w:asciiTheme="majorHAnsi" w:hAnsiTheme="majorHAnsi"/>
          <w:i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Security interests in cash </w:t>
      </w:r>
      <w:proofErr w:type="gramStart"/>
      <w:r w:rsidRPr="008863A6">
        <w:rPr>
          <w:rFonts w:asciiTheme="majorHAnsi" w:hAnsiTheme="majorHAnsi"/>
          <w:i/>
          <w:sz w:val="24"/>
          <w:szCs w:val="24"/>
        </w:rPr>
        <w:t xml:space="preserve">collateral  </w:t>
      </w:r>
      <w:r w:rsidRPr="008863A6">
        <w:rPr>
          <w:rFonts w:asciiTheme="majorHAnsi" w:hAnsiTheme="majorHAnsi"/>
          <w:sz w:val="24"/>
          <w:szCs w:val="24"/>
        </w:rPr>
        <w:t>Second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conference of Secured Transaction Law Reform Project, June 2014</w:t>
      </w:r>
    </w:p>
    <w:p w:rsidR="007B3E38" w:rsidRPr="008863A6" w:rsidRDefault="007B3E38" w:rsidP="00280901">
      <w:pPr>
        <w:rPr>
          <w:rFonts w:asciiTheme="majorHAnsi" w:hAnsiTheme="majorHAnsi"/>
          <w:i/>
          <w:sz w:val="24"/>
          <w:szCs w:val="24"/>
        </w:rPr>
      </w:pPr>
    </w:p>
    <w:p w:rsidR="007B3E38" w:rsidRPr="008863A6" w:rsidRDefault="007B3E38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bCs/>
          <w:i/>
          <w:sz w:val="24"/>
          <w:szCs w:val="24"/>
        </w:rPr>
        <w:t xml:space="preserve">Compulsory central clearing of OTC derivatives: the changing face of the provision of collateral </w:t>
      </w:r>
      <w:r w:rsidR="00335B21" w:rsidRPr="008863A6">
        <w:rPr>
          <w:rFonts w:asciiTheme="majorHAnsi" w:hAnsiTheme="majorHAnsi"/>
          <w:sz w:val="24"/>
          <w:szCs w:val="24"/>
        </w:rPr>
        <w:t>Universidad Carlos III de Madrid</w:t>
      </w:r>
      <w:r w:rsidRPr="008863A6">
        <w:rPr>
          <w:rFonts w:asciiTheme="majorHAnsi" w:hAnsiTheme="majorHAnsi"/>
          <w:bCs/>
          <w:sz w:val="24"/>
          <w:szCs w:val="24"/>
        </w:rPr>
        <w:t>, 26</w:t>
      </w:r>
      <w:r w:rsidRPr="008863A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bCs/>
          <w:sz w:val="24"/>
          <w:szCs w:val="24"/>
        </w:rPr>
        <w:t xml:space="preserve"> May 2014</w:t>
      </w:r>
    </w:p>
    <w:p w:rsidR="000A33EF" w:rsidRPr="008863A6" w:rsidRDefault="000A33EF" w:rsidP="00280901">
      <w:pPr>
        <w:rPr>
          <w:rFonts w:asciiTheme="majorHAnsi" w:hAnsiTheme="majorHAnsi"/>
          <w:i/>
          <w:sz w:val="24"/>
          <w:szCs w:val="24"/>
        </w:rPr>
      </w:pPr>
    </w:p>
    <w:p w:rsidR="00335B21" w:rsidRPr="008863A6" w:rsidRDefault="00335B21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How and when should the law relating to intermediated securities be </w:t>
      </w:r>
      <w:proofErr w:type="spellStart"/>
      <w:r w:rsidRPr="008863A6">
        <w:rPr>
          <w:rFonts w:asciiTheme="majorHAnsi" w:hAnsiTheme="majorHAnsi"/>
          <w:i/>
          <w:sz w:val="24"/>
          <w:szCs w:val="24"/>
        </w:rPr>
        <w:t>harmonised</w:t>
      </w:r>
      <w:proofErr w:type="spellEnd"/>
      <w:r w:rsidRPr="008863A6">
        <w:rPr>
          <w:rFonts w:asciiTheme="majorHAnsi" w:hAnsiTheme="majorHAnsi"/>
          <w:i/>
          <w:sz w:val="24"/>
          <w:szCs w:val="24"/>
        </w:rPr>
        <w:t xml:space="preserve">? </w:t>
      </w:r>
      <w:r w:rsidRPr="008863A6">
        <w:rPr>
          <w:rFonts w:asciiTheme="majorHAnsi" w:hAnsiTheme="majorHAnsi"/>
          <w:sz w:val="24"/>
          <w:szCs w:val="24"/>
        </w:rPr>
        <w:t>Tilburg University, April 2014</w:t>
      </w:r>
    </w:p>
    <w:p w:rsidR="00335B21" w:rsidRPr="008863A6" w:rsidRDefault="00335B21" w:rsidP="00280901">
      <w:pPr>
        <w:rPr>
          <w:rFonts w:asciiTheme="majorHAnsi" w:hAnsiTheme="majorHAnsi"/>
          <w:i/>
          <w:sz w:val="24"/>
          <w:szCs w:val="24"/>
        </w:rPr>
      </w:pPr>
    </w:p>
    <w:p w:rsidR="000A33EF" w:rsidRPr="008863A6" w:rsidRDefault="000A33EF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>Problems of mutuality in insolvency set-</w:t>
      </w:r>
      <w:proofErr w:type="gramStart"/>
      <w:r w:rsidRPr="008863A6">
        <w:rPr>
          <w:rFonts w:asciiTheme="majorHAnsi" w:hAnsiTheme="majorHAnsi"/>
          <w:i/>
          <w:sz w:val="24"/>
          <w:szCs w:val="24"/>
        </w:rPr>
        <w:t xml:space="preserve">off </w:t>
      </w:r>
      <w:r w:rsidRPr="008863A6">
        <w:rPr>
          <w:rFonts w:asciiTheme="majorHAnsi" w:hAnsiTheme="majorHAnsi"/>
          <w:sz w:val="24"/>
          <w:szCs w:val="24"/>
        </w:rPr>
        <w:t xml:space="preserve"> Insolvency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Lawyers Association Conference</w:t>
      </w:r>
      <w:r w:rsidR="00EA4CDE" w:rsidRPr="008863A6">
        <w:rPr>
          <w:rFonts w:asciiTheme="majorHAnsi" w:hAnsiTheme="majorHAnsi"/>
          <w:sz w:val="24"/>
          <w:szCs w:val="24"/>
        </w:rPr>
        <w:t xml:space="preserve"> Academic forum </w:t>
      </w:r>
      <w:r w:rsidRPr="008863A6">
        <w:rPr>
          <w:rFonts w:asciiTheme="majorHAnsi" w:hAnsiTheme="majorHAnsi"/>
          <w:sz w:val="24"/>
          <w:szCs w:val="24"/>
        </w:rPr>
        <w:t>21st March 2014</w:t>
      </w:r>
    </w:p>
    <w:p w:rsidR="000A33EF" w:rsidRPr="008863A6" w:rsidRDefault="000A33EF" w:rsidP="00280901">
      <w:pPr>
        <w:rPr>
          <w:rFonts w:asciiTheme="majorHAnsi" w:hAnsiTheme="majorHAnsi"/>
          <w:sz w:val="24"/>
          <w:szCs w:val="24"/>
        </w:rPr>
      </w:pPr>
    </w:p>
    <w:p w:rsidR="00941318" w:rsidRPr="008863A6" w:rsidRDefault="00941318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Piecemeal reform: is it the answer? </w:t>
      </w:r>
      <w:r w:rsidRPr="008863A6">
        <w:rPr>
          <w:rFonts w:asciiTheme="majorHAnsi" w:hAnsiTheme="majorHAnsi"/>
          <w:sz w:val="24"/>
          <w:szCs w:val="24"/>
        </w:rPr>
        <w:t>EBRD conference on secured lending 4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November 2013</w:t>
      </w:r>
    </w:p>
    <w:p w:rsidR="00575792" w:rsidRPr="008863A6" w:rsidRDefault="00575792" w:rsidP="00280901">
      <w:pPr>
        <w:rPr>
          <w:rFonts w:asciiTheme="majorHAnsi" w:hAnsiTheme="majorHAnsi"/>
          <w:sz w:val="24"/>
          <w:szCs w:val="24"/>
        </w:rPr>
      </w:pPr>
    </w:p>
    <w:p w:rsidR="00575792" w:rsidRPr="008863A6" w:rsidRDefault="00575792" w:rsidP="00575792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Registration and </w:t>
      </w:r>
      <w:proofErr w:type="gramStart"/>
      <w:r w:rsidRPr="008863A6">
        <w:rPr>
          <w:rFonts w:asciiTheme="majorHAnsi" w:hAnsiTheme="majorHAnsi"/>
          <w:i/>
          <w:sz w:val="24"/>
          <w:szCs w:val="24"/>
        </w:rPr>
        <w:t xml:space="preserve">Priorities  </w:t>
      </w:r>
      <w:r w:rsidRPr="008863A6">
        <w:rPr>
          <w:rFonts w:asciiTheme="majorHAnsi" w:hAnsiTheme="majorHAnsi"/>
          <w:sz w:val="24"/>
          <w:szCs w:val="24"/>
        </w:rPr>
        <w:t>First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conference of Secured Transaction Law Reform Project, 6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December 2011</w:t>
      </w:r>
    </w:p>
    <w:p w:rsidR="00575792" w:rsidRPr="008863A6" w:rsidRDefault="00575792" w:rsidP="00280901">
      <w:pPr>
        <w:rPr>
          <w:rFonts w:asciiTheme="majorHAnsi" w:hAnsiTheme="majorHAnsi"/>
          <w:sz w:val="24"/>
          <w:szCs w:val="24"/>
        </w:rPr>
      </w:pPr>
    </w:p>
    <w:p w:rsidR="00575792" w:rsidRPr="008863A6" w:rsidRDefault="00575792" w:rsidP="00575792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lastRenderedPageBreak/>
        <w:t xml:space="preserve">Reform of the UK law of personal property </w:t>
      </w:r>
      <w:proofErr w:type="gramStart"/>
      <w:r w:rsidRPr="008863A6">
        <w:rPr>
          <w:rFonts w:asciiTheme="majorHAnsi" w:hAnsiTheme="majorHAnsi"/>
          <w:i/>
          <w:sz w:val="24"/>
          <w:szCs w:val="24"/>
        </w:rPr>
        <w:t>security  sous</w:t>
      </w:r>
      <w:proofErr w:type="gramEnd"/>
      <w:r w:rsidRPr="008863A6">
        <w:rPr>
          <w:rFonts w:asciiTheme="majorHAnsi" w:hAnsiTheme="majorHAnsi"/>
          <w:i/>
          <w:sz w:val="24"/>
          <w:szCs w:val="24"/>
        </w:rPr>
        <w:t xml:space="preserve"> les auspices de </w:t>
      </w:r>
      <w:proofErr w:type="spellStart"/>
      <w:r w:rsidRPr="008863A6">
        <w:rPr>
          <w:rFonts w:asciiTheme="majorHAnsi" w:hAnsiTheme="majorHAnsi"/>
          <w:i/>
          <w:sz w:val="24"/>
          <w:szCs w:val="24"/>
        </w:rPr>
        <w:t>l’Association</w:t>
      </w:r>
      <w:proofErr w:type="spellEnd"/>
      <w:r w:rsidRPr="008863A6">
        <w:rPr>
          <w:rFonts w:asciiTheme="majorHAnsi" w:hAnsiTheme="majorHAnsi"/>
          <w:i/>
          <w:sz w:val="24"/>
          <w:szCs w:val="24"/>
        </w:rPr>
        <w:t xml:space="preserve"> Oxford-Sorbonne pour le droit compare, </w:t>
      </w:r>
      <w:r w:rsidRPr="008863A6">
        <w:rPr>
          <w:rFonts w:asciiTheme="majorHAnsi" w:hAnsiTheme="majorHAnsi"/>
          <w:sz w:val="24"/>
          <w:szCs w:val="24"/>
        </w:rPr>
        <w:t>Clifford Chance, Paris 23</w:t>
      </w:r>
      <w:r w:rsidRPr="008863A6">
        <w:rPr>
          <w:rFonts w:asciiTheme="majorHAnsi" w:hAnsiTheme="majorHAnsi"/>
          <w:sz w:val="24"/>
          <w:szCs w:val="24"/>
          <w:vertAlign w:val="superscript"/>
        </w:rPr>
        <w:t>rd</w:t>
      </w:r>
      <w:r w:rsidRPr="008863A6">
        <w:rPr>
          <w:rFonts w:asciiTheme="majorHAnsi" w:hAnsiTheme="majorHAnsi"/>
          <w:sz w:val="24"/>
          <w:szCs w:val="24"/>
        </w:rPr>
        <w:t xml:space="preserve"> November 2011</w:t>
      </w:r>
    </w:p>
    <w:p w:rsidR="00FA760F" w:rsidRPr="008863A6" w:rsidRDefault="00FA760F" w:rsidP="00280901">
      <w:pPr>
        <w:rPr>
          <w:rFonts w:asciiTheme="majorHAnsi" w:hAnsiTheme="majorHAnsi"/>
          <w:i/>
          <w:sz w:val="24"/>
          <w:szCs w:val="24"/>
        </w:rPr>
      </w:pPr>
    </w:p>
    <w:p w:rsidR="00C449A0" w:rsidRPr="008863A6" w:rsidRDefault="00C449A0" w:rsidP="0028090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What shall we do about Financial Collateral?   </w:t>
      </w:r>
      <w:r w:rsidRPr="008863A6">
        <w:rPr>
          <w:rFonts w:asciiTheme="majorHAnsi" w:hAnsiTheme="majorHAnsi"/>
          <w:sz w:val="24"/>
          <w:szCs w:val="24"/>
        </w:rPr>
        <w:t>Lecture in the Current Legal Problems series at UCL delivered on 13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October 2011.  </w:t>
      </w:r>
    </w:p>
    <w:p w:rsidR="0020754F" w:rsidRPr="008863A6" w:rsidRDefault="0020754F" w:rsidP="00280901">
      <w:pPr>
        <w:rPr>
          <w:rFonts w:asciiTheme="majorHAnsi" w:hAnsiTheme="majorHAnsi"/>
          <w:sz w:val="24"/>
          <w:szCs w:val="24"/>
        </w:rPr>
      </w:pPr>
    </w:p>
    <w:p w:rsidR="00E233EC" w:rsidRPr="008863A6" w:rsidRDefault="00E233EC" w:rsidP="00E233EC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  <w:lang w:val="en-GB" w:eastAsia="en-GB"/>
        </w:rPr>
      </w:pPr>
      <w:r w:rsidRPr="008863A6">
        <w:rPr>
          <w:rFonts w:asciiTheme="majorHAnsi" w:hAnsiTheme="majorHAnsi"/>
          <w:i/>
          <w:sz w:val="24"/>
          <w:szCs w:val="24"/>
          <w:lang w:val="en-GB" w:eastAsia="en-GB"/>
        </w:rPr>
        <w:t xml:space="preserve">UK Insolvency Procedures </w:t>
      </w:r>
      <w:r w:rsidRPr="008863A6">
        <w:rPr>
          <w:rFonts w:asciiTheme="majorHAnsi" w:hAnsiTheme="majorHAnsi"/>
          <w:sz w:val="24"/>
          <w:szCs w:val="24"/>
          <w:lang w:val="en-GB" w:eastAsia="en-GB"/>
        </w:rPr>
        <w:t xml:space="preserve">at </w:t>
      </w:r>
      <w:r w:rsidRPr="008863A6">
        <w:rPr>
          <w:rFonts w:asciiTheme="majorHAnsi" w:hAnsiTheme="majorHAnsi"/>
          <w:sz w:val="24"/>
          <w:szCs w:val="24"/>
        </w:rPr>
        <w:t>Corporate Inso</w:t>
      </w:r>
      <w:r w:rsidR="0020754F" w:rsidRPr="008863A6">
        <w:rPr>
          <w:rFonts w:asciiTheme="majorHAnsi" w:hAnsiTheme="majorHAnsi"/>
          <w:sz w:val="24"/>
          <w:szCs w:val="24"/>
        </w:rPr>
        <w:t>lvency Law in France and the UK, C</w:t>
      </w:r>
      <w:r w:rsidRPr="008863A6">
        <w:rPr>
          <w:rFonts w:asciiTheme="majorHAnsi" w:hAnsiTheme="majorHAnsi"/>
          <w:sz w:val="24"/>
          <w:szCs w:val="24"/>
        </w:rPr>
        <w:t>hrist Church, Oxford</w:t>
      </w:r>
      <w:r w:rsidR="0020754F" w:rsidRPr="008863A6">
        <w:rPr>
          <w:rFonts w:asciiTheme="majorHAnsi" w:hAnsiTheme="majorHAnsi"/>
          <w:sz w:val="24"/>
          <w:szCs w:val="24"/>
        </w:rPr>
        <w:t xml:space="preserve">, </w:t>
      </w:r>
      <w:r w:rsidRPr="008863A6">
        <w:rPr>
          <w:rFonts w:asciiTheme="majorHAnsi" w:hAnsiTheme="majorHAnsi"/>
          <w:sz w:val="24"/>
          <w:szCs w:val="24"/>
        </w:rPr>
        <w:t>2010</w:t>
      </w:r>
    </w:p>
    <w:p w:rsidR="00941318" w:rsidRPr="008863A6" w:rsidRDefault="00941318" w:rsidP="00C449A0">
      <w:pPr>
        <w:rPr>
          <w:rFonts w:asciiTheme="majorHAnsi" w:hAnsiTheme="majorHAnsi"/>
          <w:sz w:val="24"/>
          <w:szCs w:val="24"/>
        </w:rPr>
      </w:pPr>
    </w:p>
    <w:p w:rsidR="00941318" w:rsidRPr="008863A6" w:rsidRDefault="00941318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i/>
          <w:sz w:val="24"/>
          <w:szCs w:val="24"/>
        </w:rPr>
        <w:t xml:space="preserve">The Reforms of the Enterprise Act 2002 and the Floating Charge as a Security Device </w:t>
      </w:r>
      <w:r w:rsidRPr="008863A6">
        <w:rPr>
          <w:rFonts w:asciiTheme="majorHAnsi" w:hAnsiTheme="majorHAnsi"/>
          <w:sz w:val="24"/>
          <w:szCs w:val="24"/>
        </w:rPr>
        <w:t>Annual Workshop on Commercial and Consumer Law, Faculty of Law, University of Toronto 19</w:t>
      </w:r>
      <w:r w:rsidRPr="008863A6">
        <w:rPr>
          <w:rFonts w:asciiTheme="majorHAnsi" w:hAnsiTheme="majorHAnsi"/>
          <w:sz w:val="24"/>
          <w:szCs w:val="24"/>
          <w:vertAlign w:val="superscript"/>
        </w:rPr>
        <w:t>th</w:t>
      </w:r>
      <w:r w:rsidRPr="008863A6">
        <w:rPr>
          <w:rFonts w:asciiTheme="majorHAnsi" w:hAnsiTheme="majorHAnsi"/>
          <w:sz w:val="24"/>
          <w:szCs w:val="24"/>
        </w:rPr>
        <w:t xml:space="preserve"> October 2007</w:t>
      </w:r>
    </w:p>
    <w:p w:rsidR="000C08F2" w:rsidRPr="008863A6" w:rsidRDefault="000C08F2" w:rsidP="00C449A0">
      <w:pPr>
        <w:rPr>
          <w:rFonts w:asciiTheme="majorHAnsi" w:hAnsiTheme="majorHAnsi"/>
          <w:sz w:val="24"/>
          <w:szCs w:val="24"/>
        </w:rPr>
      </w:pPr>
    </w:p>
    <w:p w:rsidR="00531AC4" w:rsidRPr="008863A6" w:rsidRDefault="00484FF2" w:rsidP="00C449A0">
      <w:pPr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 xml:space="preserve">Conferences </w:t>
      </w:r>
      <w:r w:rsidR="000C4697" w:rsidRPr="008863A6">
        <w:rPr>
          <w:rFonts w:asciiTheme="majorHAnsi" w:hAnsiTheme="majorHAnsi"/>
          <w:b/>
          <w:sz w:val="24"/>
          <w:szCs w:val="24"/>
        </w:rPr>
        <w:t xml:space="preserve">and colloquia </w:t>
      </w:r>
      <w:r w:rsidRPr="008863A6">
        <w:rPr>
          <w:rFonts w:asciiTheme="majorHAnsi" w:hAnsiTheme="majorHAnsi"/>
          <w:b/>
          <w:sz w:val="24"/>
          <w:szCs w:val="24"/>
        </w:rPr>
        <w:t>organized</w:t>
      </w:r>
    </w:p>
    <w:p w:rsidR="00335B21" w:rsidRPr="008863A6" w:rsidRDefault="00335B21" w:rsidP="00C449A0">
      <w:pPr>
        <w:rPr>
          <w:rFonts w:asciiTheme="majorHAnsi" w:hAnsiTheme="majorHAnsi"/>
          <w:b/>
          <w:sz w:val="24"/>
          <w:szCs w:val="24"/>
        </w:rPr>
      </w:pPr>
    </w:p>
    <w:p w:rsidR="008E4E96" w:rsidRPr="008863A6" w:rsidRDefault="008E4E96" w:rsidP="00E47060">
      <w:pPr>
        <w:pStyle w:val="MediumGrid1-Accent21"/>
        <w:spacing w:after="0" w:line="240" w:lineRule="auto"/>
        <w:ind w:left="0"/>
        <w:rPr>
          <w:rFonts w:asciiTheme="majorHAnsi" w:hAnsiTheme="majorHAnsi" w:cstheme="min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2018  ‘Secured transactions law in Asia’, conference held at NUS in July 2018 organized jointly with the </w:t>
      </w:r>
      <w:r w:rsidRPr="008863A6">
        <w:rPr>
          <w:rFonts w:asciiTheme="majorHAnsi" w:hAnsiTheme="majorHAnsi" w:cstheme="minorHAnsi"/>
          <w:sz w:val="24"/>
          <w:szCs w:val="24"/>
        </w:rPr>
        <w:t>Centre for Banking &amp; Finance Law, Faculty of Law, National University of Singapore and the EW Barker Centre for Law &amp; Business, Faculty of Law, National University of Singapore</w:t>
      </w:r>
      <w:r w:rsidR="00E47060" w:rsidRPr="008863A6">
        <w:rPr>
          <w:rFonts w:asciiTheme="majorHAnsi" w:hAnsiTheme="majorHAnsi" w:cstheme="minorHAnsi"/>
          <w:sz w:val="24"/>
          <w:szCs w:val="24"/>
        </w:rPr>
        <w:t>.  Paper delivered entitled ‘</w:t>
      </w:r>
      <w:r w:rsidR="00E47060" w:rsidRPr="008863A6">
        <w:rPr>
          <w:rFonts w:asciiTheme="majorHAnsi" w:hAnsiTheme="majorHAnsi" w:cs="Calibri"/>
          <w:i/>
          <w:iCs/>
          <w:sz w:val="24"/>
          <w:szCs w:val="24"/>
        </w:rPr>
        <w:t>Secured transactions law reform in common law jurisdictions (Brunei as example)’</w:t>
      </w:r>
      <w:r w:rsidR="00E47060" w:rsidRPr="008863A6">
        <w:rPr>
          <w:rFonts w:asciiTheme="majorHAnsi" w:hAnsiTheme="majorHAnsi" w:cstheme="minorHAnsi"/>
          <w:sz w:val="24"/>
          <w:szCs w:val="24"/>
        </w:rPr>
        <w:t xml:space="preserve"> </w:t>
      </w:r>
    </w:p>
    <w:p w:rsidR="008E4E96" w:rsidRPr="008863A6" w:rsidRDefault="008E4E96" w:rsidP="008E4E96">
      <w:pPr>
        <w:rPr>
          <w:rFonts w:asciiTheme="majorHAnsi" w:hAnsiTheme="majorHAnsi"/>
          <w:sz w:val="24"/>
          <w:szCs w:val="24"/>
        </w:rPr>
      </w:pPr>
    </w:p>
    <w:p w:rsidR="008E4E96" w:rsidRPr="008863A6" w:rsidRDefault="008E4E96" w:rsidP="008E4E96">
      <w:pPr>
        <w:rPr>
          <w:rFonts w:asciiTheme="majorHAnsi" w:hAnsiTheme="majorHAnsi"/>
          <w:sz w:val="24"/>
          <w:szCs w:val="24"/>
        </w:rPr>
      </w:pPr>
      <w:proofErr w:type="gramStart"/>
      <w:r w:rsidRPr="008863A6">
        <w:rPr>
          <w:rFonts w:asciiTheme="majorHAnsi" w:hAnsiTheme="majorHAnsi"/>
          <w:sz w:val="24"/>
          <w:szCs w:val="24"/>
        </w:rPr>
        <w:t>2018  ‘Unintended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consequences’ held in Oxford in April 2018, (jointly with Jennifer Payne and Janis Sarra)</w:t>
      </w:r>
    </w:p>
    <w:p w:rsidR="008E4E96" w:rsidRPr="008863A6" w:rsidRDefault="008E4E96" w:rsidP="00335B21">
      <w:pPr>
        <w:rPr>
          <w:rFonts w:asciiTheme="majorHAnsi" w:hAnsiTheme="majorHAnsi"/>
          <w:sz w:val="24"/>
          <w:szCs w:val="24"/>
        </w:rPr>
      </w:pPr>
    </w:p>
    <w:p w:rsidR="00FA596E" w:rsidRPr="008863A6" w:rsidRDefault="00FA596E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2017 Sixth Cape Town Convention Academic Conference</w:t>
      </w:r>
    </w:p>
    <w:p w:rsidR="00EE0132" w:rsidRPr="008863A6" w:rsidRDefault="00EE0132" w:rsidP="00335B21">
      <w:pPr>
        <w:rPr>
          <w:rFonts w:asciiTheme="majorHAnsi" w:hAnsiTheme="majorHAnsi"/>
          <w:sz w:val="24"/>
          <w:szCs w:val="24"/>
        </w:rPr>
      </w:pPr>
    </w:p>
    <w:p w:rsidR="00FA596E" w:rsidRPr="008863A6" w:rsidRDefault="00FA596E" w:rsidP="00335B21">
      <w:pPr>
        <w:rPr>
          <w:rFonts w:asciiTheme="majorHAnsi" w:hAnsiTheme="majorHAnsi"/>
          <w:sz w:val="24"/>
          <w:szCs w:val="24"/>
        </w:rPr>
      </w:pPr>
      <w:proofErr w:type="gramStart"/>
      <w:r w:rsidRPr="008863A6">
        <w:rPr>
          <w:rFonts w:asciiTheme="majorHAnsi" w:hAnsiTheme="majorHAnsi"/>
          <w:sz w:val="24"/>
          <w:szCs w:val="24"/>
        </w:rPr>
        <w:t>2017  ‘T</w:t>
      </w:r>
      <w:r w:rsidRPr="008863A6">
        <w:rPr>
          <w:rFonts w:asciiTheme="majorHAnsi" w:hAnsiTheme="majorHAnsi" w:cs="Garamond-Bold"/>
          <w:bCs/>
          <w:sz w:val="24"/>
          <w:szCs w:val="24"/>
          <w:lang w:val="en-GB" w:eastAsia="en-GB"/>
        </w:rPr>
        <w:t>he</w:t>
      </w:r>
      <w:proofErr w:type="gramEnd"/>
      <w:r w:rsidRPr="008863A6">
        <w:rPr>
          <w:rFonts w:asciiTheme="majorHAnsi" w:hAnsiTheme="majorHAnsi" w:cs="Garamond-Bold"/>
          <w:bCs/>
          <w:sz w:val="24"/>
          <w:szCs w:val="24"/>
          <w:lang w:val="en-GB" w:eastAsia="en-GB"/>
        </w:rPr>
        <w:t xml:space="preserve"> Scheme of Arrangement as a Debt Restructuring Tool’ (with Jennifer Payne and Kristin Van Zwieten, jointly run with NUS)</w:t>
      </w:r>
    </w:p>
    <w:p w:rsidR="00FA596E" w:rsidRPr="008863A6" w:rsidRDefault="00FA596E" w:rsidP="00335B21">
      <w:pPr>
        <w:rPr>
          <w:rFonts w:asciiTheme="majorHAnsi" w:hAnsiTheme="majorHAnsi"/>
          <w:sz w:val="24"/>
          <w:szCs w:val="24"/>
        </w:rPr>
      </w:pPr>
    </w:p>
    <w:p w:rsidR="00927296" w:rsidRPr="008863A6" w:rsidRDefault="00927296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2016</w:t>
      </w:r>
      <w:r w:rsidR="00FA596E" w:rsidRPr="008863A6">
        <w:rPr>
          <w:rFonts w:asciiTheme="majorHAnsi" w:hAnsiTheme="majorHAnsi"/>
          <w:sz w:val="24"/>
          <w:szCs w:val="24"/>
        </w:rPr>
        <w:t>-</w:t>
      </w:r>
      <w:proofErr w:type="gramStart"/>
      <w:r w:rsidR="00FA596E" w:rsidRPr="008863A6">
        <w:rPr>
          <w:rFonts w:asciiTheme="majorHAnsi" w:hAnsiTheme="majorHAnsi"/>
          <w:sz w:val="24"/>
          <w:szCs w:val="24"/>
        </w:rPr>
        <w:t>18</w:t>
      </w:r>
      <w:r w:rsidR="00EE0132" w:rsidRPr="008863A6">
        <w:rPr>
          <w:rFonts w:asciiTheme="majorHAnsi" w:hAnsiTheme="majorHAnsi"/>
          <w:sz w:val="24"/>
          <w:szCs w:val="24"/>
        </w:rPr>
        <w:t xml:space="preserve">  </w:t>
      </w:r>
      <w:r w:rsidR="00FA596E" w:rsidRPr="008863A6">
        <w:rPr>
          <w:rFonts w:asciiTheme="majorHAnsi" w:hAnsiTheme="majorHAnsi"/>
          <w:sz w:val="24"/>
          <w:szCs w:val="24"/>
        </w:rPr>
        <w:t>Five</w:t>
      </w:r>
      <w:proofErr w:type="gramEnd"/>
      <w:r w:rsidR="00FA596E" w:rsidRPr="008863A6">
        <w:rPr>
          <w:rFonts w:asciiTheme="majorHAnsi" w:hAnsiTheme="majorHAnsi"/>
          <w:sz w:val="24"/>
          <w:szCs w:val="24"/>
        </w:rPr>
        <w:t xml:space="preserve"> w</w:t>
      </w:r>
      <w:r w:rsidRPr="008863A6">
        <w:rPr>
          <w:rFonts w:asciiTheme="majorHAnsi" w:hAnsiTheme="majorHAnsi"/>
          <w:sz w:val="24"/>
          <w:szCs w:val="24"/>
        </w:rPr>
        <w:t>orkshop</w:t>
      </w:r>
      <w:r w:rsidR="00FA596E" w:rsidRPr="008863A6">
        <w:rPr>
          <w:rFonts w:asciiTheme="majorHAnsi" w:hAnsiTheme="majorHAnsi"/>
          <w:sz w:val="24"/>
          <w:szCs w:val="24"/>
        </w:rPr>
        <w:t xml:space="preserve">s </w:t>
      </w:r>
      <w:r w:rsidRPr="008863A6">
        <w:rPr>
          <w:rFonts w:asciiTheme="majorHAnsi" w:hAnsiTheme="majorHAnsi"/>
          <w:sz w:val="24"/>
          <w:szCs w:val="24"/>
        </w:rPr>
        <w:t>on holding of securities through an intermediary</w:t>
      </w:r>
      <w:r w:rsidR="00FA596E" w:rsidRPr="008863A6">
        <w:rPr>
          <w:rFonts w:asciiTheme="majorHAnsi" w:hAnsiTheme="majorHAnsi"/>
          <w:sz w:val="24"/>
          <w:szCs w:val="24"/>
        </w:rPr>
        <w:t xml:space="preserve"> (with Jennifer Payne)</w:t>
      </w:r>
      <w:r w:rsidR="008E4E96" w:rsidRPr="008863A6">
        <w:rPr>
          <w:rFonts w:asciiTheme="majorHAnsi" w:hAnsiTheme="majorHAnsi"/>
          <w:sz w:val="24"/>
          <w:szCs w:val="24"/>
        </w:rPr>
        <w:t xml:space="preserve"> see </w:t>
      </w:r>
      <w:hyperlink r:id="rId10" w:history="1">
        <w:r w:rsidR="008E4E96" w:rsidRPr="008863A6">
          <w:rPr>
            <w:rStyle w:val="Hyperlink"/>
            <w:rFonts w:asciiTheme="majorHAnsi" w:hAnsiTheme="majorHAnsi"/>
            <w:color w:val="auto"/>
            <w:sz w:val="24"/>
            <w:szCs w:val="24"/>
          </w:rPr>
          <w:t>https://www.law.ox.ac.uk/research-and-subject-groups/intermediation-and-beyond</w:t>
        </w:r>
      </w:hyperlink>
      <w:r w:rsidR="008E4E96" w:rsidRPr="008863A6">
        <w:rPr>
          <w:rFonts w:asciiTheme="majorHAnsi" w:hAnsiTheme="majorHAnsi"/>
          <w:sz w:val="24"/>
          <w:szCs w:val="24"/>
        </w:rPr>
        <w:t xml:space="preserve"> </w:t>
      </w:r>
    </w:p>
    <w:p w:rsidR="008E4E96" w:rsidRPr="008863A6" w:rsidRDefault="008E4E96" w:rsidP="00335B21">
      <w:pPr>
        <w:rPr>
          <w:rFonts w:asciiTheme="majorHAnsi" w:hAnsiTheme="majorHAnsi"/>
          <w:sz w:val="24"/>
          <w:szCs w:val="24"/>
        </w:rPr>
      </w:pPr>
    </w:p>
    <w:p w:rsidR="008E4E96" w:rsidRPr="008863A6" w:rsidRDefault="008E4E96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2016-17   </w:t>
      </w:r>
      <w:proofErr w:type="gramStart"/>
      <w:r w:rsidRPr="008863A6">
        <w:rPr>
          <w:rFonts w:asciiTheme="majorHAnsi" w:hAnsiTheme="majorHAnsi"/>
          <w:sz w:val="24"/>
          <w:szCs w:val="24"/>
        </w:rPr>
        <w:t>Two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workshops on Best Practices in Electronic registration (jointly with Jeffrey Wool) see </w:t>
      </w:r>
      <w:hyperlink r:id="rId11" w:history="1">
        <w:r w:rsidRPr="008863A6">
          <w:rPr>
            <w:rStyle w:val="Hyperlink"/>
            <w:rFonts w:asciiTheme="majorHAnsi" w:hAnsiTheme="majorHAnsi"/>
            <w:color w:val="auto"/>
            <w:sz w:val="24"/>
            <w:szCs w:val="24"/>
          </w:rPr>
          <w:t>https://www.law.ox.ac.uk/research-subject-groups/best-practices-field-electronic-registry-design-and-operation</w:t>
        </w:r>
      </w:hyperlink>
      <w:r w:rsidRPr="008863A6">
        <w:rPr>
          <w:rFonts w:asciiTheme="majorHAnsi" w:hAnsiTheme="majorHAnsi"/>
          <w:sz w:val="24"/>
          <w:szCs w:val="24"/>
        </w:rPr>
        <w:t xml:space="preserve"> </w:t>
      </w:r>
    </w:p>
    <w:p w:rsidR="008E4E96" w:rsidRPr="008863A6" w:rsidRDefault="008E4E96" w:rsidP="00335B21">
      <w:pPr>
        <w:rPr>
          <w:rFonts w:asciiTheme="majorHAnsi" w:hAnsiTheme="majorHAnsi"/>
          <w:sz w:val="24"/>
          <w:szCs w:val="24"/>
        </w:rPr>
      </w:pPr>
    </w:p>
    <w:p w:rsidR="008E4E96" w:rsidRPr="008863A6" w:rsidRDefault="008E4E96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2016-17   </w:t>
      </w:r>
      <w:proofErr w:type="gramStart"/>
      <w:r w:rsidRPr="008863A6">
        <w:rPr>
          <w:rFonts w:asciiTheme="majorHAnsi" w:hAnsiTheme="majorHAnsi"/>
          <w:sz w:val="24"/>
          <w:szCs w:val="24"/>
        </w:rPr>
        <w:t>Three</w:t>
      </w:r>
      <w:proofErr w:type="gramEnd"/>
      <w:r w:rsidRPr="008863A6">
        <w:rPr>
          <w:rFonts w:asciiTheme="majorHAnsi" w:hAnsiTheme="majorHAnsi"/>
          <w:sz w:val="24"/>
          <w:szCs w:val="24"/>
        </w:rPr>
        <w:t xml:space="preserve"> workshops on Economic Assessment of Transnational Commercial Law Reform (with Jeffrey Wool) see </w:t>
      </w:r>
      <w:hyperlink r:id="rId12" w:history="1">
        <w:r w:rsidRPr="008863A6">
          <w:rPr>
            <w:rStyle w:val="Hyperlink"/>
            <w:rFonts w:asciiTheme="majorHAnsi" w:hAnsiTheme="majorHAnsi"/>
            <w:color w:val="auto"/>
            <w:sz w:val="24"/>
            <w:szCs w:val="24"/>
          </w:rPr>
          <w:t>https://www.law.ox.ac.uk/research-subject-groups/economic-assessment-international-commercial-law-reform</w:t>
        </w:r>
      </w:hyperlink>
      <w:r w:rsidRPr="008863A6">
        <w:rPr>
          <w:rFonts w:asciiTheme="majorHAnsi" w:hAnsiTheme="majorHAnsi"/>
          <w:sz w:val="24"/>
          <w:szCs w:val="24"/>
        </w:rPr>
        <w:t xml:space="preserve"> </w:t>
      </w:r>
    </w:p>
    <w:p w:rsidR="00927296" w:rsidRPr="008863A6" w:rsidRDefault="00927296" w:rsidP="00335B21">
      <w:pPr>
        <w:rPr>
          <w:rFonts w:asciiTheme="majorHAnsi" w:hAnsiTheme="majorHAnsi"/>
          <w:sz w:val="24"/>
          <w:szCs w:val="24"/>
        </w:rPr>
      </w:pPr>
    </w:p>
    <w:p w:rsidR="00927296" w:rsidRPr="008863A6" w:rsidRDefault="00927296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2016</w:t>
      </w:r>
      <w:r w:rsidRPr="008863A6">
        <w:rPr>
          <w:rFonts w:asciiTheme="majorHAnsi" w:hAnsiTheme="majorHAnsi"/>
          <w:sz w:val="24"/>
          <w:szCs w:val="24"/>
        </w:rPr>
        <w:tab/>
        <w:t xml:space="preserve">Fifth Cape Town Convention Academic </w:t>
      </w:r>
      <w:proofErr w:type="spellStart"/>
      <w:r w:rsidRPr="008863A6">
        <w:rPr>
          <w:rFonts w:asciiTheme="majorHAnsi" w:hAnsiTheme="majorHAnsi"/>
          <w:sz w:val="24"/>
          <w:szCs w:val="24"/>
        </w:rPr>
        <w:t>Conferemce</w:t>
      </w:r>
      <w:proofErr w:type="spellEnd"/>
    </w:p>
    <w:p w:rsidR="00927296" w:rsidRPr="008863A6" w:rsidRDefault="00927296" w:rsidP="00335B21">
      <w:pPr>
        <w:rPr>
          <w:rFonts w:asciiTheme="majorHAnsi" w:hAnsiTheme="majorHAnsi"/>
          <w:sz w:val="24"/>
          <w:szCs w:val="24"/>
        </w:rPr>
      </w:pPr>
    </w:p>
    <w:p w:rsidR="00335B21" w:rsidRPr="008863A6" w:rsidRDefault="00335B21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2015</w:t>
      </w:r>
      <w:r w:rsidRPr="008863A6">
        <w:rPr>
          <w:rFonts w:asciiTheme="majorHAnsi" w:hAnsiTheme="majorHAnsi"/>
          <w:sz w:val="24"/>
          <w:szCs w:val="24"/>
        </w:rPr>
        <w:tab/>
        <w:t xml:space="preserve">Fourth Cape Town Convention Academic Conference </w:t>
      </w:r>
    </w:p>
    <w:p w:rsidR="00484FF2" w:rsidRPr="008863A6" w:rsidRDefault="00484FF2" w:rsidP="00C449A0">
      <w:pPr>
        <w:rPr>
          <w:rFonts w:asciiTheme="majorHAnsi" w:hAnsiTheme="majorHAnsi"/>
          <w:sz w:val="24"/>
          <w:szCs w:val="24"/>
        </w:rPr>
      </w:pPr>
    </w:p>
    <w:p w:rsidR="00335B21" w:rsidRPr="008863A6" w:rsidRDefault="00335B21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lastRenderedPageBreak/>
        <w:t>2015</w:t>
      </w:r>
      <w:r w:rsidRPr="008863A6">
        <w:rPr>
          <w:rFonts w:asciiTheme="majorHAnsi" w:hAnsiTheme="majorHAnsi"/>
          <w:sz w:val="24"/>
          <w:szCs w:val="24"/>
        </w:rPr>
        <w:tab/>
        <w:t>Current Issues in Corporate Insolvency (Oxford) (with Jennifer Payne and Kristin van Zwieten)</w:t>
      </w:r>
    </w:p>
    <w:p w:rsidR="00335B21" w:rsidRPr="008863A6" w:rsidRDefault="00335B21" w:rsidP="00C449A0">
      <w:pPr>
        <w:rPr>
          <w:rFonts w:asciiTheme="majorHAnsi" w:hAnsiTheme="majorHAnsi"/>
          <w:b/>
          <w:sz w:val="24"/>
          <w:szCs w:val="24"/>
        </w:rPr>
      </w:pPr>
    </w:p>
    <w:p w:rsidR="00335B21" w:rsidRPr="008863A6" w:rsidRDefault="00335B21" w:rsidP="00335B21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2014</w:t>
      </w:r>
      <w:r w:rsidRPr="008863A6">
        <w:rPr>
          <w:rFonts w:asciiTheme="majorHAnsi" w:hAnsiTheme="majorHAnsi"/>
          <w:sz w:val="24"/>
          <w:szCs w:val="24"/>
        </w:rPr>
        <w:tab/>
        <w:t>Third Cape Town Convention Academic Conference</w:t>
      </w:r>
    </w:p>
    <w:p w:rsidR="00335B21" w:rsidRPr="008863A6" w:rsidRDefault="00335B21" w:rsidP="00335B21">
      <w:pPr>
        <w:rPr>
          <w:rFonts w:asciiTheme="majorHAnsi" w:hAnsiTheme="majorHAnsi"/>
          <w:sz w:val="24"/>
          <w:szCs w:val="24"/>
        </w:rPr>
      </w:pPr>
    </w:p>
    <w:p w:rsidR="007B3E38" w:rsidRPr="008863A6" w:rsidRDefault="00335B21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2014</w:t>
      </w:r>
      <w:r w:rsidRPr="008863A6">
        <w:rPr>
          <w:rFonts w:asciiTheme="majorHAnsi" w:hAnsiTheme="majorHAnsi"/>
          <w:sz w:val="24"/>
          <w:szCs w:val="24"/>
        </w:rPr>
        <w:tab/>
        <w:t xml:space="preserve">Conference on Intermediated Securities and fiduciary duties of investment intermediaries (with Jennifer Payne) </w:t>
      </w:r>
    </w:p>
    <w:p w:rsidR="00335B21" w:rsidRPr="008863A6" w:rsidRDefault="00335B21" w:rsidP="00C449A0">
      <w:pPr>
        <w:rPr>
          <w:rFonts w:asciiTheme="majorHAnsi" w:hAnsiTheme="majorHAnsi"/>
          <w:sz w:val="24"/>
          <w:szCs w:val="24"/>
        </w:rPr>
      </w:pPr>
    </w:p>
    <w:p w:rsidR="000C4697" w:rsidRPr="008863A6" w:rsidRDefault="000C4697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2013</w:t>
      </w:r>
      <w:r w:rsidRPr="008863A6">
        <w:rPr>
          <w:rFonts w:asciiTheme="majorHAnsi" w:hAnsiTheme="majorHAnsi"/>
          <w:sz w:val="24"/>
          <w:szCs w:val="24"/>
        </w:rPr>
        <w:tab/>
        <w:t>Second Cape Town Convention Academic Project conference (Oxford)</w:t>
      </w:r>
    </w:p>
    <w:p w:rsidR="000C4697" w:rsidRPr="008863A6" w:rsidRDefault="000C4697" w:rsidP="00C449A0">
      <w:pPr>
        <w:rPr>
          <w:rFonts w:asciiTheme="majorHAnsi" w:hAnsiTheme="majorHAnsi"/>
          <w:sz w:val="24"/>
          <w:szCs w:val="24"/>
        </w:rPr>
      </w:pPr>
    </w:p>
    <w:p w:rsidR="000C4697" w:rsidRPr="008863A6" w:rsidRDefault="000C4697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2013</w:t>
      </w:r>
      <w:r w:rsidRPr="008863A6">
        <w:rPr>
          <w:rFonts w:asciiTheme="majorHAnsi" w:hAnsiTheme="majorHAnsi"/>
          <w:sz w:val="24"/>
          <w:szCs w:val="24"/>
        </w:rPr>
        <w:tab/>
        <w:t>Current Issues in Corporate Insolvency (Oxford) (with Jennifer Payne)</w:t>
      </w:r>
    </w:p>
    <w:p w:rsidR="000C4697" w:rsidRPr="008863A6" w:rsidRDefault="000C4697" w:rsidP="00C449A0">
      <w:pPr>
        <w:rPr>
          <w:rFonts w:asciiTheme="majorHAnsi" w:hAnsiTheme="majorHAnsi"/>
          <w:b/>
          <w:sz w:val="24"/>
          <w:szCs w:val="24"/>
        </w:rPr>
      </w:pPr>
    </w:p>
    <w:p w:rsidR="000C4697" w:rsidRPr="008863A6" w:rsidRDefault="000C4697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2012</w:t>
      </w:r>
      <w:r w:rsidRPr="008863A6">
        <w:rPr>
          <w:rFonts w:asciiTheme="majorHAnsi" w:hAnsiTheme="majorHAnsi"/>
          <w:sz w:val="24"/>
          <w:szCs w:val="24"/>
        </w:rPr>
        <w:tab/>
        <w:t>First Cape Town Convention Academic Project conference (Oxford)</w:t>
      </w:r>
    </w:p>
    <w:p w:rsidR="000C4697" w:rsidRPr="008863A6" w:rsidRDefault="000C4697" w:rsidP="00C449A0">
      <w:pPr>
        <w:rPr>
          <w:rFonts w:asciiTheme="majorHAnsi" w:hAnsiTheme="majorHAnsi"/>
          <w:sz w:val="24"/>
          <w:szCs w:val="24"/>
        </w:rPr>
      </w:pPr>
    </w:p>
    <w:p w:rsidR="000C4697" w:rsidRPr="008863A6" w:rsidRDefault="000C4697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2011</w:t>
      </w:r>
      <w:r w:rsidRPr="008863A6">
        <w:rPr>
          <w:rFonts w:asciiTheme="majorHAnsi" w:hAnsiTheme="majorHAnsi"/>
          <w:sz w:val="24"/>
          <w:szCs w:val="24"/>
        </w:rPr>
        <w:tab/>
        <w:t>First conference of the Secured Transaction Law Reform project (London)</w:t>
      </w:r>
    </w:p>
    <w:p w:rsidR="000C4697" w:rsidRPr="008863A6" w:rsidRDefault="000C4697" w:rsidP="00C449A0">
      <w:pPr>
        <w:rPr>
          <w:rFonts w:asciiTheme="majorHAnsi" w:hAnsiTheme="majorHAnsi"/>
          <w:b/>
          <w:sz w:val="24"/>
          <w:szCs w:val="24"/>
        </w:rPr>
      </w:pPr>
    </w:p>
    <w:p w:rsidR="000C4697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  <w:r w:rsidRPr="008863A6">
        <w:rPr>
          <w:rFonts w:asciiTheme="majorHAnsi" w:hAnsiTheme="majorHAnsi"/>
          <w:sz w:val="24"/>
          <w:szCs w:val="24"/>
          <w:lang w:val="de-DE"/>
        </w:rPr>
        <w:t>2011</w:t>
      </w:r>
      <w:r w:rsidRPr="008863A6">
        <w:rPr>
          <w:rFonts w:asciiTheme="majorHAnsi" w:hAnsiTheme="majorHAnsi"/>
          <w:sz w:val="24"/>
          <w:szCs w:val="24"/>
          <w:lang w:val="de-DE"/>
        </w:rPr>
        <w:tab/>
        <w:t>Current Issues in Corporate Insolvency (Oxford) (with Jennifer Payne)</w:t>
      </w:r>
    </w:p>
    <w:p w:rsidR="000C4697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</w:p>
    <w:p w:rsidR="000C4697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  <w:r w:rsidRPr="008863A6">
        <w:rPr>
          <w:rFonts w:asciiTheme="majorHAnsi" w:hAnsiTheme="majorHAnsi"/>
          <w:sz w:val="24"/>
          <w:szCs w:val="24"/>
          <w:lang w:val="de-DE"/>
        </w:rPr>
        <w:t>2010</w:t>
      </w:r>
      <w:r w:rsidRPr="008863A6">
        <w:rPr>
          <w:rFonts w:asciiTheme="majorHAnsi" w:hAnsiTheme="majorHAnsi"/>
          <w:sz w:val="24"/>
          <w:szCs w:val="24"/>
          <w:lang w:val="de-DE"/>
        </w:rPr>
        <w:tab/>
      </w:r>
      <w:r w:rsidRPr="008863A6">
        <w:rPr>
          <w:rFonts w:asciiTheme="majorHAnsi" w:hAnsiTheme="majorHAnsi"/>
          <w:bCs/>
          <w:sz w:val="24"/>
          <w:szCs w:val="24"/>
        </w:rPr>
        <w:t>Dealing with financial institution failure: the legacy of Lehman and the financial crisis (New York)</w:t>
      </w:r>
    </w:p>
    <w:p w:rsidR="000C4697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</w:p>
    <w:p w:rsidR="000C4697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  <w:r w:rsidRPr="008863A6">
        <w:rPr>
          <w:rFonts w:asciiTheme="majorHAnsi" w:hAnsiTheme="majorHAnsi"/>
          <w:sz w:val="24"/>
          <w:szCs w:val="24"/>
          <w:lang w:val="de-DE"/>
        </w:rPr>
        <w:t>2009</w:t>
      </w:r>
      <w:r w:rsidRPr="008863A6">
        <w:rPr>
          <w:rFonts w:asciiTheme="majorHAnsi" w:hAnsiTheme="majorHAnsi"/>
          <w:sz w:val="24"/>
          <w:szCs w:val="24"/>
          <w:lang w:val="de-DE"/>
        </w:rPr>
        <w:tab/>
        <w:t>Interests in Securities (Oxford) (with Jennifer Payne)</w:t>
      </w:r>
    </w:p>
    <w:p w:rsidR="000C4697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</w:p>
    <w:p w:rsidR="00484FF2" w:rsidRPr="008863A6" w:rsidRDefault="000C4697" w:rsidP="00484FF2">
      <w:pPr>
        <w:rPr>
          <w:rFonts w:asciiTheme="majorHAnsi" w:hAnsiTheme="majorHAnsi"/>
          <w:sz w:val="24"/>
          <w:szCs w:val="24"/>
          <w:lang w:val="de-DE"/>
        </w:rPr>
      </w:pPr>
      <w:r w:rsidRPr="008863A6">
        <w:rPr>
          <w:rFonts w:asciiTheme="majorHAnsi" w:hAnsiTheme="majorHAnsi"/>
          <w:sz w:val="24"/>
          <w:szCs w:val="24"/>
          <w:lang w:val="de-DE"/>
        </w:rPr>
        <w:t>2008</w:t>
      </w:r>
      <w:r w:rsidRPr="008863A6">
        <w:rPr>
          <w:rFonts w:asciiTheme="majorHAnsi" w:hAnsiTheme="majorHAnsi"/>
          <w:sz w:val="24"/>
          <w:szCs w:val="24"/>
          <w:lang w:val="de-DE"/>
        </w:rPr>
        <w:tab/>
      </w:r>
      <w:r w:rsidR="00484FF2" w:rsidRPr="008863A6">
        <w:rPr>
          <w:rFonts w:asciiTheme="majorHAnsi" w:hAnsiTheme="majorHAnsi"/>
          <w:sz w:val="24"/>
          <w:szCs w:val="24"/>
          <w:lang w:val="de-DE"/>
        </w:rPr>
        <w:t>Issues in financial and insolvency law: perspectives from France and the UK</w:t>
      </w:r>
      <w:r w:rsidRPr="008863A6">
        <w:rPr>
          <w:rFonts w:asciiTheme="majorHAnsi" w:hAnsiTheme="majorHAnsi"/>
          <w:sz w:val="24"/>
          <w:szCs w:val="24"/>
          <w:lang w:val="de-DE"/>
        </w:rPr>
        <w:t xml:space="preserve"> (Oxford) (with Wolf-Georg Ringe and Philippe Thery)</w:t>
      </w:r>
    </w:p>
    <w:p w:rsidR="00484FF2" w:rsidRPr="008863A6" w:rsidRDefault="00484FF2" w:rsidP="00484FF2">
      <w:pPr>
        <w:rPr>
          <w:rFonts w:asciiTheme="majorHAnsi" w:hAnsiTheme="majorHAnsi"/>
          <w:b/>
          <w:sz w:val="24"/>
          <w:szCs w:val="24"/>
          <w:lang w:val="de-DE"/>
        </w:rPr>
      </w:pPr>
    </w:p>
    <w:p w:rsidR="00586535" w:rsidRPr="008863A6" w:rsidRDefault="00586535" w:rsidP="00C449A0">
      <w:pPr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Scholarly contribution</w:t>
      </w:r>
    </w:p>
    <w:p w:rsidR="00586535" w:rsidRPr="008863A6" w:rsidRDefault="00586535" w:rsidP="00C449A0">
      <w:pPr>
        <w:rPr>
          <w:rFonts w:asciiTheme="majorHAnsi" w:hAnsiTheme="majorHAnsi"/>
          <w:b/>
          <w:sz w:val="24"/>
          <w:szCs w:val="24"/>
        </w:rPr>
      </w:pP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Editorial board: Law and Financial Markets Review</w:t>
      </w: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 regularly review contributions for scholarly journals including Oxford Journal of Legal Studies, Law Quarterly Review and Journal of Corporate Law Studies, as well as occasionally for other more specialist journals.</w:t>
      </w: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 regularly review book proposals for OUP (and occasionally others)</w:t>
      </w: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 have taken part in a number of assessment processes for promotion of academics in various places including Hong Kong, Singapore, Ireland and Australia.</w:t>
      </w:r>
    </w:p>
    <w:p w:rsidR="00A643C0" w:rsidRPr="008863A6" w:rsidRDefault="00A643C0" w:rsidP="00C449A0">
      <w:pPr>
        <w:rPr>
          <w:rFonts w:asciiTheme="majorHAnsi" w:hAnsiTheme="majorHAnsi"/>
          <w:sz w:val="24"/>
          <w:szCs w:val="24"/>
        </w:rPr>
      </w:pPr>
    </w:p>
    <w:p w:rsidR="00A643C0" w:rsidRPr="008863A6" w:rsidRDefault="00A643C0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 acted as a ‘wise person’ in advising the Central European University law faculty on the future of it is LLM (in 2017).</w:t>
      </w: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</w:p>
    <w:p w:rsidR="00586535" w:rsidRPr="008863A6" w:rsidRDefault="00586535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 </w:t>
      </w:r>
    </w:p>
    <w:p w:rsidR="00531AC4" w:rsidRPr="008863A6" w:rsidRDefault="00353BBA" w:rsidP="00C449A0">
      <w:pPr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Interaction with practice</w:t>
      </w:r>
    </w:p>
    <w:p w:rsidR="00353BBA" w:rsidRPr="008863A6" w:rsidRDefault="00353BBA" w:rsidP="00C449A0">
      <w:pPr>
        <w:rPr>
          <w:rFonts w:asciiTheme="majorHAnsi" w:hAnsiTheme="majorHAnsi"/>
          <w:b/>
          <w:sz w:val="24"/>
          <w:szCs w:val="24"/>
        </w:rPr>
      </w:pPr>
    </w:p>
    <w:p w:rsidR="00353BBA" w:rsidRPr="008863A6" w:rsidRDefault="00353BBA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lastRenderedPageBreak/>
        <w:t xml:space="preserve">Talks on commercial and financial law subjects to law firms, </w:t>
      </w:r>
      <w:r w:rsidR="0020754F" w:rsidRPr="008863A6">
        <w:rPr>
          <w:rFonts w:asciiTheme="majorHAnsi" w:hAnsiTheme="majorHAnsi"/>
          <w:sz w:val="24"/>
          <w:szCs w:val="24"/>
        </w:rPr>
        <w:t xml:space="preserve">for example, </w:t>
      </w:r>
      <w:r w:rsidRPr="008863A6">
        <w:rPr>
          <w:rFonts w:asciiTheme="majorHAnsi" w:hAnsiTheme="majorHAnsi"/>
          <w:sz w:val="24"/>
          <w:szCs w:val="24"/>
        </w:rPr>
        <w:t>Shearman &amp; Sterling, Skadden Apps, Clifford Chance</w:t>
      </w:r>
    </w:p>
    <w:p w:rsidR="00353BBA" w:rsidRPr="008863A6" w:rsidRDefault="00353BBA" w:rsidP="00C449A0">
      <w:pPr>
        <w:rPr>
          <w:rFonts w:asciiTheme="majorHAnsi" w:hAnsiTheme="majorHAnsi"/>
          <w:sz w:val="24"/>
          <w:szCs w:val="24"/>
        </w:rPr>
      </w:pPr>
    </w:p>
    <w:p w:rsidR="00353BBA" w:rsidRPr="008863A6" w:rsidRDefault="00353BBA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Meetings with </w:t>
      </w:r>
      <w:r w:rsidR="00E233EC" w:rsidRPr="008863A6">
        <w:rPr>
          <w:rFonts w:asciiTheme="majorHAnsi" w:hAnsiTheme="majorHAnsi"/>
          <w:sz w:val="24"/>
          <w:szCs w:val="24"/>
        </w:rPr>
        <w:t xml:space="preserve">practitioners as part of the Secured Transaction Law </w:t>
      </w:r>
      <w:r w:rsidR="00460772" w:rsidRPr="008863A6">
        <w:rPr>
          <w:rFonts w:asciiTheme="majorHAnsi" w:hAnsiTheme="majorHAnsi"/>
          <w:sz w:val="24"/>
          <w:szCs w:val="24"/>
        </w:rPr>
        <w:t xml:space="preserve">Reform Project, including with </w:t>
      </w:r>
      <w:r w:rsidR="00E233EC" w:rsidRPr="008863A6">
        <w:rPr>
          <w:rFonts w:asciiTheme="majorHAnsi" w:hAnsiTheme="majorHAnsi"/>
          <w:sz w:val="24"/>
          <w:szCs w:val="24"/>
        </w:rPr>
        <w:t>members of the Financial Law Panel of the City of London Law Society</w:t>
      </w:r>
      <w:r w:rsidR="00DE74FC" w:rsidRPr="008863A6">
        <w:rPr>
          <w:rFonts w:asciiTheme="majorHAnsi" w:hAnsiTheme="majorHAnsi"/>
          <w:sz w:val="24"/>
          <w:szCs w:val="24"/>
        </w:rPr>
        <w:t>, the Professional Support Lawyers discussion group, various law firms, the FLA, ABFA and others.</w:t>
      </w:r>
    </w:p>
    <w:p w:rsidR="00E233EC" w:rsidRPr="008863A6" w:rsidRDefault="00E233EC" w:rsidP="00C449A0">
      <w:pPr>
        <w:rPr>
          <w:rFonts w:asciiTheme="majorHAnsi" w:hAnsiTheme="majorHAnsi"/>
          <w:sz w:val="24"/>
          <w:szCs w:val="24"/>
        </w:rPr>
      </w:pPr>
    </w:p>
    <w:p w:rsidR="00E233EC" w:rsidRPr="008863A6" w:rsidRDefault="00575792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P</w:t>
      </w:r>
      <w:r w:rsidR="00407877" w:rsidRPr="008863A6">
        <w:rPr>
          <w:rFonts w:asciiTheme="majorHAnsi" w:hAnsiTheme="majorHAnsi"/>
          <w:sz w:val="24"/>
          <w:szCs w:val="24"/>
        </w:rPr>
        <w:t>rovid</w:t>
      </w:r>
      <w:r w:rsidRPr="008863A6">
        <w:rPr>
          <w:rFonts w:asciiTheme="majorHAnsi" w:hAnsiTheme="majorHAnsi"/>
          <w:sz w:val="24"/>
          <w:szCs w:val="24"/>
        </w:rPr>
        <w:t>ing</w:t>
      </w:r>
      <w:r w:rsidR="00407877" w:rsidRPr="008863A6">
        <w:rPr>
          <w:rFonts w:asciiTheme="majorHAnsi" w:hAnsiTheme="majorHAnsi"/>
          <w:sz w:val="24"/>
          <w:szCs w:val="24"/>
        </w:rPr>
        <w:t xml:space="preserve"> considerable a</w:t>
      </w:r>
      <w:r w:rsidR="00E233EC" w:rsidRPr="008863A6">
        <w:rPr>
          <w:rFonts w:asciiTheme="majorHAnsi" w:hAnsiTheme="majorHAnsi"/>
          <w:sz w:val="24"/>
          <w:szCs w:val="24"/>
        </w:rPr>
        <w:t>ssistance to Gray’s Inn, particularly in relation to students, such as interviewing for scholarships, advising about liaison with universities.</w:t>
      </w:r>
      <w:r w:rsidR="00407877" w:rsidRPr="008863A6">
        <w:rPr>
          <w:rFonts w:asciiTheme="majorHAnsi" w:hAnsiTheme="majorHAnsi"/>
          <w:sz w:val="24"/>
          <w:szCs w:val="24"/>
        </w:rPr>
        <w:t xml:space="preserve">  I am now a Bencher of Gray’s Inn.</w:t>
      </w:r>
    </w:p>
    <w:p w:rsidR="00E233EC" w:rsidRPr="008863A6" w:rsidRDefault="00E233EC" w:rsidP="00C449A0">
      <w:pPr>
        <w:rPr>
          <w:rFonts w:asciiTheme="majorHAnsi" w:hAnsiTheme="majorHAnsi"/>
          <w:sz w:val="24"/>
          <w:szCs w:val="24"/>
        </w:rPr>
      </w:pPr>
    </w:p>
    <w:p w:rsidR="003C4911" w:rsidRPr="008863A6" w:rsidRDefault="00DF3F3E" w:rsidP="00C449A0">
      <w:pPr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Interaction with policymakers and law reform</w:t>
      </w:r>
    </w:p>
    <w:p w:rsidR="00DF3F3E" w:rsidRPr="008863A6" w:rsidRDefault="00DF3F3E" w:rsidP="00C449A0">
      <w:pPr>
        <w:rPr>
          <w:rFonts w:asciiTheme="majorHAnsi" w:hAnsiTheme="majorHAnsi"/>
          <w:b/>
          <w:sz w:val="24"/>
          <w:szCs w:val="24"/>
        </w:rPr>
      </w:pP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Work with Law Commission on project on security interests (2002-2005)</w:t>
      </w:r>
      <w:r w:rsidR="007B3E38" w:rsidRPr="008863A6">
        <w:rPr>
          <w:rFonts w:asciiTheme="majorHAnsi" w:hAnsiTheme="majorHAnsi"/>
          <w:sz w:val="24"/>
          <w:szCs w:val="24"/>
        </w:rPr>
        <w:t xml:space="preserve">, </w:t>
      </w:r>
      <w:r w:rsidR="00335B21" w:rsidRPr="008863A6">
        <w:rPr>
          <w:rFonts w:asciiTheme="majorHAnsi" w:hAnsiTheme="majorHAnsi"/>
          <w:sz w:val="24"/>
          <w:szCs w:val="24"/>
        </w:rPr>
        <w:t>Bills of Sale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</w:p>
    <w:p w:rsidR="003C4911" w:rsidRPr="008863A6" w:rsidRDefault="003C4911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Project sponsored by </w:t>
      </w:r>
      <w:r w:rsidR="00026985" w:rsidRPr="008863A6">
        <w:rPr>
          <w:rFonts w:asciiTheme="majorHAnsi" w:hAnsiTheme="majorHAnsi"/>
          <w:sz w:val="24"/>
          <w:szCs w:val="24"/>
        </w:rPr>
        <w:t xml:space="preserve">the </w:t>
      </w:r>
      <w:r w:rsidRPr="008863A6">
        <w:rPr>
          <w:rFonts w:asciiTheme="majorHAnsi" w:hAnsiTheme="majorHAnsi"/>
          <w:sz w:val="24"/>
          <w:szCs w:val="24"/>
        </w:rPr>
        <w:t>A</w:t>
      </w:r>
      <w:r w:rsidR="00026985" w:rsidRPr="008863A6">
        <w:rPr>
          <w:rFonts w:asciiTheme="majorHAnsi" w:hAnsiTheme="majorHAnsi"/>
          <w:sz w:val="24"/>
          <w:szCs w:val="24"/>
        </w:rPr>
        <w:t xml:space="preserve">sset </w:t>
      </w:r>
      <w:r w:rsidRPr="008863A6">
        <w:rPr>
          <w:rFonts w:asciiTheme="majorHAnsi" w:hAnsiTheme="majorHAnsi"/>
          <w:sz w:val="24"/>
          <w:szCs w:val="24"/>
        </w:rPr>
        <w:t>B</w:t>
      </w:r>
      <w:r w:rsidR="00026985" w:rsidRPr="008863A6">
        <w:rPr>
          <w:rFonts w:asciiTheme="majorHAnsi" w:hAnsiTheme="majorHAnsi"/>
          <w:sz w:val="24"/>
          <w:szCs w:val="24"/>
        </w:rPr>
        <w:t xml:space="preserve">ased </w:t>
      </w:r>
      <w:r w:rsidRPr="008863A6">
        <w:rPr>
          <w:rFonts w:asciiTheme="majorHAnsi" w:hAnsiTheme="majorHAnsi"/>
          <w:sz w:val="24"/>
          <w:szCs w:val="24"/>
        </w:rPr>
        <w:t>F</w:t>
      </w:r>
      <w:r w:rsidR="00026985" w:rsidRPr="008863A6">
        <w:rPr>
          <w:rFonts w:asciiTheme="majorHAnsi" w:hAnsiTheme="majorHAnsi"/>
          <w:sz w:val="24"/>
          <w:szCs w:val="24"/>
        </w:rPr>
        <w:t xml:space="preserve">inance </w:t>
      </w:r>
      <w:r w:rsidRPr="008863A6">
        <w:rPr>
          <w:rFonts w:asciiTheme="majorHAnsi" w:hAnsiTheme="majorHAnsi"/>
          <w:sz w:val="24"/>
          <w:szCs w:val="24"/>
        </w:rPr>
        <w:t>A</w:t>
      </w:r>
      <w:r w:rsidR="00026985" w:rsidRPr="008863A6">
        <w:rPr>
          <w:rFonts w:asciiTheme="majorHAnsi" w:hAnsiTheme="majorHAnsi"/>
          <w:sz w:val="24"/>
          <w:szCs w:val="24"/>
        </w:rPr>
        <w:t>ssociation</w:t>
      </w:r>
      <w:r w:rsidRPr="008863A6">
        <w:rPr>
          <w:rFonts w:asciiTheme="majorHAnsi" w:hAnsiTheme="majorHAnsi"/>
          <w:sz w:val="24"/>
          <w:szCs w:val="24"/>
        </w:rPr>
        <w:t xml:space="preserve"> on anti-assignment clauses (with H. Beale, delivered November 2011)</w:t>
      </w:r>
      <w:r w:rsidR="00575792" w:rsidRPr="008863A6">
        <w:rPr>
          <w:rFonts w:asciiTheme="majorHAnsi" w:hAnsiTheme="majorHAnsi"/>
          <w:sz w:val="24"/>
          <w:szCs w:val="24"/>
        </w:rPr>
        <w:t>.  This involved empirical research and the writing of a 20,000 word report.</w:t>
      </w:r>
    </w:p>
    <w:p w:rsidR="00026985" w:rsidRPr="008863A6" w:rsidRDefault="00026985" w:rsidP="00C449A0">
      <w:pPr>
        <w:rPr>
          <w:rFonts w:asciiTheme="majorHAnsi" w:hAnsiTheme="majorHAnsi"/>
          <w:sz w:val="24"/>
          <w:szCs w:val="24"/>
        </w:rPr>
      </w:pPr>
    </w:p>
    <w:p w:rsidR="00026985" w:rsidRPr="008863A6" w:rsidRDefault="00026985" w:rsidP="00026985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Work with </w:t>
      </w:r>
      <w:r w:rsidR="00DB3F11" w:rsidRPr="008863A6">
        <w:rPr>
          <w:rFonts w:asciiTheme="majorHAnsi" w:hAnsiTheme="majorHAnsi"/>
          <w:sz w:val="24"/>
          <w:szCs w:val="24"/>
        </w:rPr>
        <w:t>UK Government (</w:t>
      </w:r>
      <w:r w:rsidRPr="008863A6">
        <w:rPr>
          <w:rFonts w:asciiTheme="majorHAnsi" w:hAnsiTheme="majorHAnsi"/>
          <w:sz w:val="24"/>
          <w:szCs w:val="24"/>
        </w:rPr>
        <w:t>BIS</w:t>
      </w:r>
      <w:r w:rsidR="00DB3F11" w:rsidRPr="008863A6">
        <w:rPr>
          <w:rFonts w:asciiTheme="majorHAnsi" w:hAnsiTheme="majorHAnsi"/>
          <w:sz w:val="24"/>
          <w:szCs w:val="24"/>
        </w:rPr>
        <w:t>/BEIS)</w:t>
      </w:r>
      <w:r w:rsidRPr="008863A6">
        <w:rPr>
          <w:rFonts w:asciiTheme="majorHAnsi" w:hAnsiTheme="majorHAnsi"/>
          <w:sz w:val="24"/>
          <w:szCs w:val="24"/>
        </w:rPr>
        <w:t xml:space="preserve"> on reform of the law on Bills of Sale Acts (2011</w:t>
      </w:r>
      <w:r w:rsidR="00496982" w:rsidRPr="008863A6">
        <w:rPr>
          <w:rFonts w:asciiTheme="majorHAnsi" w:hAnsiTheme="majorHAnsi"/>
          <w:sz w:val="24"/>
          <w:szCs w:val="24"/>
        </w:rPr>
        <w:t>, 2015</w:t>
      </w:r>
      <w:proofErr w:type="gramStart"/>
      <w:r w:rsidR="00496982" w:rsidRPr="008863A6">
        <w:rPr>
          <w:rFonts w:asciiTheme="majorHAnsi" w:hAnsiTheme="majorHAnsi"/>
          <w:sz w:val="24"/>
          <w:szCs w:val="24"/>
        </w:rPr>
        <w:t>-</w:t>
      </w:r>
      <w:r w:rsidRPr="008863A6">
        <w:rPr>
          <w:rFonts w:asciiTheme="majorHAnsi" w:hAnsiTheme="majorHAnsi"/>
          <w:sz w:val="24"/>
          <w:szCs w:val="24"/>
        </w:rPr>
        <w:t>)</w:t>
      </w:r>
      <w:proofErr w:type="gramEnd"/>
      <w:r w:rsidR="00335B21" w:rsidRPr="008863A6">
        <w:rPr>
          <w:rFonts w:asciiTheme="majorHAnsi" w:hAnsiTheme="majorHAnsi"/>
          <w:sz w:val="24"/>
          <w:szCs w:val="24"/>
        </w:rPr>
        <w:t>,</w:t>
      </w:r>
      <w:r w:rsidRPr="008863A6">
        <w:rPr>
          <w:rFonts w:asciiTheme="majorHAnsi" w:hAnsiTheme="majorHAnsi"/>
          <w:sz w:val="24"/>
          <w:szCs w:val="24"/>
        </w:rPr>
        <w:t xml:space="preserve"> on reform of the law relating to registration of company charges (2012-3)</w:t>
      </w:r>
      <w:r w:rsidR="00335B21" w:rsidRPr="008863A6">
        <w:rPr>
          <w:rFonts w:asciiTheme="majorHAnsi" w:hAnsiTheme="majorHAnsi"/>
          <w:sz w:val="24"/>
          <w:szCs w:val="24"/>
        </w:rPr>
        <w:t xml:space="preserve">, on anti-assignment clauses (2014 - ) </w:t>
      </w:r>
      <w:r w:rsidR="00DB3F11" w:rsidRPr="008863A6">
        <w:rPr>
          <w:rFonts w:asciiTheme="majorHAnsi" w:hAnsiTheme="majorHAnsi"/>
          <w:sz w:val="24"/>
          <w:szCs w:val="24"/>
        </w:rPr>
        <w:t>and on the MAC protocol to the Cape Town Convention (2017- )</w:t>
      </w:r>
    </w:p>
    <w:p w:rsidR="00026985" w:rsidRPr="008863A6" w:rsidRDefault="00026985" w:rsidP="00C449A0">
      <w:pPr>
        <w:rPr>
          <w:rFonts w:asciiTheme="majorHAnsi" w:hAnsiTheme="majorHAnsi"/>
          <w:sz w:val="24"/>
          <w:szCs w:val="24"/>
        </w:rPr>
      </w:pPr>
    </w:p>
    <w:p w:rsidR="00CA1694" w:rsidRPr="008863A6" w:rsidRDefault="0020754F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Invited by</w:t>
      </w:r>
      <w:r w:rsidR="00DF3F3E" w:rsidRPr="008863A6">
        <w:rPr>
          <w:rFonts w:asciiTheme="majorHAnsi" w:hAnsiTheme="majorHAnsi"/>
          <w:sz w:val="24"/>
          <w:szCs w:val="24"/>
        </w:rPr>
        <w:t xml:space="preserve"> the Bank of England </w:t>
      </w:r>
      <w:r w:rsidRPr="008863A6">
        <w:rPr>
          <w:rFonts w:asciiTheme="majorHAnsi" w:hAnsiTheme="majorHAnsi"/>
          <w:sz w:val="24"/>
          <w:szCs w:val="24"/>
        </w:rPr>
        <w:t xml:space="preserve">to address a discussion </w:t>
      </w:r>
      <w:r w:rsidR="00DF3F3E" w:rsidRPr="008863A6">
        <w:rPr>
          <w:rFonts w:asciiTheme="majorHAnsi" w:hAnsiTheme="majorHAnsi"/>
          <w:sz w:val="24"/>
          <w:szCs w:val="24"/>
        </w:rPr>
        <w:t>on the law relating to financial collateral</w:t>
      </w:r>
      <w:r w:rsidR="00651455" w:rsidRPr="008863A6">
        <w:rPr>
          <w:rFonts w:asciiTheme="majorHAnsi" w:hAnsiTheme="majorHAnsi"/>
          <w:sz w:val="24"/>
          <w:szCs w:val="24"/>
        </w:rPr>
        <w:t xml:space="preserve"> (2013)</w:t>
      </w:r>
    </w:p>
    <w:p w:rsidR="00651455" w:rsidRPr="008863A6" w:rsidRDefault="00651455" w:rsidP="00C449A0">
      <w:pPr>
        <w:rPr>
          <w:rFonts w:asciiTheme="majorHAnsi" w:hAnsiTheme="majorHAnsi"/>
          <w:sz w:val="24"/>
          <w:szCs w:val="24"/>
        </w:rPr>
      </w:pPr>
    </w:p>
    <w:p w:rsidR="00CA1694" w:rsidRPr="008863A6" w:rsidRDefault="00CA1694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The w</w:t>
      </w:r>
      <w:r w:rsidR="00651455" w:rsidRPr="008863A6">
        <w:rPr>
          <w:rFonts w:asciiTheme="majorHAnsi" w:hAnsiTheme="majorHAnsi"/>
          <w:sz w:val="24"/>
          <w:szCs w:val="24"/>
        </w:rPr>
        <w:t>ork of the Secured Transaction L</w:t>
      </w:r>
      <w:r w:rsidRPr="008863A6">
        <w:rPr>
          <w:rFonts w:asciiTheme="majorHAnsi" w:hAnsiTheme="majorHAnsi"/>
          <w:sz w:val="24"/>
          <w:szCs w:val="24"/>
        </w:rPr>
        <w:t>aw Reform Project involves interaction both with B</w:t>
      </w:r>
      <w:r w:rsidR="00DB3F11" w:rsidRPr="008863A6">
        <w:rPr>
          <w:rFonts w:asciiTheme="majorHAnsi" w:hAnsiTheme="majorHAnsi"/>
          <w:sz w:val="24"/>
          <w:szCs w:val="24"/>
        </w:rPr>
        <w:t>E</w:t>
      </w:r>
      <w:r w:rsidRPr="008863A6">
        <w:rPr>
          <w:rFonts w:asciiTheme="majorHAnsi" w:hAnsiTheme="majorHAnsi"/>
          <w:sz w:val="24"/>
          <w:szCs w:val="24"/>
        </w:rPr>
        <w:t>IS and with the Scottish Law Commission, who are both monitoring the progress of the project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</w:p>
    <w:p w:rsidR="00484FF2" w:rsidRPr="008863A6" w:rsidRDefault="00484FF2" w:rsidP="00C449A0">
      <w:pPr>
        <w:rPr>
          <w:rFonts w:asciiTheme="majorHAnsi" w:hAnsiTheme="majorHAnsi"/>
          <w:b/>
          <w:sz w:val="24"/>
          <w:szCs w:val="24"/>
        </w:rPr>
      </w:pPr>
      <w:r w:rsidRPr="008863A6">
        <w:rPr>
          <w:rFonts w:asciiTheme="majorHAnsi" w:hAnsiTheme="majorHAnsi"/>
          <w:b/>
          <w:sz w:val="24"/>
          <w:szCs w:val="24"/>
        </w:rPr>
        <w:t>Supervision and research examining</w:t>
      </w:r>
    </w:p>
    <w:p w:rsidR="00484FF2" w:rsidRPr="008863A6" w:rsidRDefault="00484FF2" w:rsidP="00C449A0">
      <w:pPr>
        <w:rPr>
          <w:rFonts w:asciiTheme="majorHAnsi" w:hAnsiTheme="majorHAnsi"/>
          <w:b/>
          <w:sz w:val="24"/>
          <w:szCs w:val="24"/>
        </w:rPr>
      </w:pPr>
    </w:p>
    <w:p w:rsidR="00D54090" w:rsidRPr="008863A6" w:rsidRDefault="00D54090" w:rsidP="00D54090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863A6">
        <w:rPr>
          <w:rFonts w:asciiTheme="majorHAnsi" w:hAnsiTheme="majorHAnsi"/>
          <w:sz w:val="24"/>
          <w:szCs w:val="24"/>
        </w:rPr>
        <w:t>MSt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</w:rPr>
        <w:t xml:space="preserve">, Gregory </w:t>
      </w:r>
      <w:proofErr w:type="spellStart"/>
      <w:r w:rsidRPr="008863A6">
        <w:rPr>
          <w:rFonts w:asciiTheme="majorHAnsi" w:hAnsiTheme="majorHAnsi"/>
          <w:sz w:val="24"/>
          <w:szCs w:val="24"/>
        </w:rPr>
        <w:t>Esangbedo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, The Secured Transactions in Movable Assets Act, Company Charges and Funding Micro, Small and Medium Enterprises under Nigerian Law </w:t>
      </w:r>
    </w:p>
    <w:p w:rsidR="00927296" w:rsidRPr="008863A6" w:rsidRDefault="00927296" w:rsidP="00D54090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863A6">
        <w:rPr>
          <w:rFonts w:asciiTheme="majorHAnsi" w:hAnsiTheme="majorHAnsi"/>
          <w:sz w:val="24"/>
          <w:szCs w:val="24"/>
        </w:rPr>
        <w:t>MSt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</w:rPr>
        <w:t xml:space="preserve">, Simon Duncan, </w:t>
      </w:r>
      <w:proofErr w:type="spellStart"/>
      <w:r w:rsidRPr="008863A6">
        <w:rPr>
          <w:rFonts w:asciiTheme="majorHAnsi" w:hAnsiTheme="majorHAnsi"/>
          <w:sz w:val="24"/>
          <w:szCs w:val="24"/>
        </w:rPr>
        <w:t>Mis</w:t>
      </w:r>
      <w:proofErr w:type="spellEnd"/>
      <w:r w:rsidRPr="008863A6">
        <w:rPr>
          <w:rFonts w:asciiTheme="majorHAnsi" w:hAnsiTheme="majorHAnsi"/>
          <w:sz w:val="24"/>
          <w:szCs w:val="24"/>
        </w:rPr>
        <w:t>-selling claims and insolvency set-off</w:t>
      </w:r>
    </w:p>
    <w:p w:rsidR="00F36513" w:rsidRPr="008863A6" w:rsidRDefault="00F36513" w:rsidP="00D5409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DPhil: Victoria</w:t>
      </w:r>
      <w:r w:rsidR="00927296" w:rsidRPr="008863A6">
        <w:rPr>
          <w:rFonts w:asciiTheme="majorHAnsi" w:hAnsiTheme="majorHAnsi"/>
          <w:sz w:val="24"/>
          <w:szCs w:val="24"/>
        </w:rPr>
        <w:t xml:space="preserve"> Dixon</w:t>
      </w:r>
      <w:r w:rsidRPr="008863A6">
        <w:rPr>
          <w:rFonts w:asciiTheme="majorHAnsi" w:hAnsiTheme="majorHAnsi"/>
          <w:sz w:val="24"/>
          <w:szCs w:val="24"/>
        </w:rPr>
        <w:t>, Central Clearing of Derivatives</w:t>
      </w:r>
    </w:p>
    <w:p w:rsidR="00F36513" w:rsidRPr="008863A6" w:rsidRDefault="00F36513" w:rsidP="00D5409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DPhil: Anton Didenko, History of the Cape Town Convention</w:t>
      </w:r>
    </w:p>
    <w:p w:rsidR="00F36513" w:rsidRPr="008863A6" w:rsidRDefault="0043333C" w:rsidP="00D54090">
      <w:pPr>
        <w:rPr>
          <w:rFonts w:asciiTheme="majorHAnsi" w:hAnsiTheme="majorHAnsi"/>
          <w:sz w:val="24"/>
          <w:szCs w:val="24"/>
        </w:rPr>
      </w:pPr>
      <w:proofErr w:type="gramStart"/>
      <w:r w:rsidRPr="008863A6">
        <w:rPr>
          <w:rFonts w:asciiTheme="majorHAnsi" w:hAnsiTheme="majorHAnsi"/>
          <w:sz w:val="24"/>
          <w:szCs w:val="24"/>
        </w:rPr>
        <w:t>DPhil</w:t>
      </w:r>
      <w:r w:rsidR="00F36513" w:rsidRPr="008863A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F36513" w:rsidRPr="008863A6">
        <w:rPr>
          <w:rFonts w:asciiTheme="majorHAnsi" w:hAnsiTheme="majorHAnsi"/>
          <w:sz w:val="24"/>
          <w:szCs w:val="24"/>
        </w:rPr>
        <w:t xml:space="preserve"> Thomas Traschler: Remedies under the Cape Town Convention</w:t>
      </w:r>
    </w:p>
    <w:p w:rsidR="00F36513" w:rsidRPr="008863A6" w:rsidRDefault="00F36513" w:rsidP="00150550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863A6">
        <w:rPr>
          <w:rFonts w:asciiTheme="majorHAnsi" w:hAnsiTheme="majorHAnsi"/>
          <w:sz w:val="24"/>
          <w:szCs w:val="24"/>
        </w:rPr>
        <w:t>MSt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</w:rPr>
        <w:t xml:space="preserve">: David Alexander: History of Bills of Exchange Act </w:t>
      </w:r>
    </w:p>
    <w:p w:rsidR="00150550" w:rsidRPr="008863A6" w:rsidRDefault="00484FF2" w:rsidP="00150550">
      <w:pPr>
        <w:rPr>
          <w:rFonts w:asciiTheme="majorHAnsi" w:eastAsia="SimSun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DPhil: Woo-Jung Jon, </w:t>
      </w:r>
      <w:r w:rsidRPr="008863A6">
        <w:rPr>
          <w:rFonts w:asciiTheme="majorHAnsi" w:eastAsia="SimSun" w:hAnsiTheme="majorHAnsi"/>
          <w:sz w:val="24"/>
          <w:szCs w:val="24"/>
        </w:rPr>
        <w:t xml:space="preserve">Establishing an International Registration System for the Assignment and Security Interest of </w:t>
      </w:r>
      <w:r w:rsidRPr="008863A6">
        <w:rPr>
          <w:rFonts w:asciiTheme="majorHAnsi" w:eastAsiaTheme="minorEastAsia" w:hAnsiTheme="majorHAnsi"/>
          <w:sz w:val="24"/>
          <w:szCs w:val="24"/>
          <w:lang w:eastAsia="ko-KR"/>
        </w:rPr>
        <w:t>R</w:t>
      </w:r>
      <w:r w:rsidRPr="008863A6">
        <w:rPr>
          <w:rFonts w:asciiTheme="majorHAnsi" w:eastAsia="SimSun" w:hAnsiTheme="majorHAnsi"/>
          <w:sz w:val="24"/>
          <w:szCs w:val="24"/>
        </w:rPr>
        <w:t>eceivables</w:t>
      </w:r>
    </w:p>
    <w:p w:rsidR="00E233EC" w:rsidRPr="008863A6" w:rsidRDefault="00E233EC" w:rsidP="00150550">
      <w:pPr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-GB"/>
        </w:rPr>
        <w:t>MSt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-GB"/>
        </w:rPr>
        <w:t xml:space="preserve">: </w:t>
      </w:r>
      <w:proofErr w:type="spellStart"/>
      <w:r w:rsidRPr="008863A6">
        <w:rPr>
          <w:rFonts w:asciiTheme="majorHAnsi" w:hAnsiTheme="majorHAnsi"/>
          <w:sz w:val="24"/>
          <w:szCs w:val="24"/>
          <w:lang w:val="en-GB"/>
        </w:rPr>
        <w:t>Gr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zegorz</w:t>
      </w:r>
      <w:proofErr w:type="spellEnd"/>
      <w:r w:rsidR="00150550" w:rsidRPr="008863A6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="00150550" w:rsidRPr="008863A6">
        <w:rPr>
          <w:rFonts w:asciiTheme="majorHAnsi" w:hAnsiTheme="majorHAnsi"/>
          <w:sz w:val="24"/>
          <w:szCs w:val="24"/>
          <w:lang w:val="en-GB"/>
        </w:rPr>
        <w:t>Markiewicz</w:t>
      </w:r>
      <w:proofErr w:type="spellEnd"/>
      <w:r w:rsidR="00150550" w:rsidRPr="008863A6">
        <w:rPr>
          <w:rFonts w:asciiTheme="majorHAnsi" w:hAnsiTheme="majorHAnsi"/>
          <w:sz w:val="24"/>
          <w:szCs w:val="24"/>
          <w:lang w:val="en-GB"/>
        </w:rPr>
        <w:t>, T</w:t>
      </w:r>
      <w:r w:rsidRPr="008863A6">
        <w:rPr>
          <w:rFonts w:asciiTheme="majorHAnsi" w:hAnsiTheme="majorHAnsi"/>
          <w:sz w:val="24"/>
          <w:szCs w:val="24"/>
          <w:lang w:val="en-GB"/>
        </w:rPr>
        <w:t xml:space="preserve">he 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Right of U</w:t>
      </w:r>
      <w:r w:rsidRPr="008863A6">
        <w:rPr>
          <w:rFonts w:asciiTheme="majorHAnsi" w:hAnsiTheme="majorHAnsi"/>
          <w:sz w:val="24"/>
          <w:szCs w:val="24"/>
          <w:lang w:val="en-GB"/>
        </w:rPr>
        <w:t xml:space="preserve">se of 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Shares</w:t>
      </w:r>
    </w:p>
    <w:p w:rsidR="00150550" w:rsidRPr="008863A6" w:rsidRDefault="00E233EC" w:rsidP="00150550">
      <w:pPr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-GB"/>
        </w:rPr>
        <w:t>MSt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-GB"/>
        </w:rPr>
        <w:t>: Tim Cleary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, T</w:t>
      </w:r>
      <w:r w:rsidRPr="008863A6">
        <w:rPr>
          <w:rFonts w:asciiTheme="majorHAnsi" w:hAnsiTheme="majorHAnsi"/>
          <w:sz w:val="24"/>
          <w:szCs w:val="24"/>
          <w:lang w:val="en-GB"/>
        </w:rPr>
        <w:t xml:space="preserve">he 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Anti-deprivation P</w:t>
      </w:r>
      <w:r w:rsidRPr="008863A6">
        <w:rPr>
          <w:rFonts w:asciiTheme="majorHAnsi" w:hAnsiTheme="majorHAnsi"/>
          <w:sz w:val="24"/>
          <w:szCs w:val="24"/>
          <w:lang w:val="en-GB"/>
        </w:rPr>
        <w:t xml:space="preserve">rinciple and its 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A</w:t>
      </w:r>
      <w:r w:rsidRPr="008863A6">
        <w:rPr>
          <w:rFonts w:asciiTheme="majorHAnsi" w:hAnsiTheme="majorHAnsi"/>
          <w:sz w:val="24"/>
          <w:szCs w:val="24"/>
          <w:lang w:val="en-GB"/>
        </w:rPr>
        <w:t xml:space="preserve">pplication to </w:t>
      </w:r>
      <w:r w:rsidR="00150550" w:rsidRPr="008863A6">
        <w:rPr>
          <w:rFonts w:asciiTheme="majorHAnsi" w:hAnsiTheme="majorHAnsi"/>
          <w:sz w:val="24"/>
          <w:szCs w:val="24"/>
          <w:lang w:val="en-GB"/>
        </w:rPr>
        <w:t>Derivative Contracts</w:t>
      </w:r>
    </w:p>
    <w:p w:rsidR="00E233EC" w:rsidRPr="008863A6" w:rsidRDefault="00150550" w:rsidP="00150550">
      <w:pPr>
        <w:rPr>
          <w:rFonts w:asciiTheme="majorHAnsi" w:eastAsia="SimSun" w:hAnsiTheme="majorHAnsi"/>
          <w:sz w:val="24"/>
          <w:szCs w:val="24"/>
        </w:rPr>
      </w:pPr>
      <w:proofErr w:type="spellStart"/>
      <w:proofErr w:type="gramStart"/>
      <w:r w:rsidRPr="008863A6">
        <w:rPr>
          <w:rFonts w:asciiTheme="majorHAnsi" w:hAnsiTheme="majorHAnsi"/>
          <w:sz w:val="24"/>
          <w:szCs w:val="24"/>
          <w:lang w:val="en-GB"/>
        </w:rPr>
        <w:t>MSt</w:t>
      </w:r>
      <w:proofErr w:type="spellEnd"/>
      <w:proofErr w:type="gramEnd"/>
      <w:r w:rsidRPr="008863A6">
        <w:rPr>
          <w:rFonts w:asciiTheme="majorHAnsi" w:hAnsiTheme="majorHAnsi"/>
          <w:sz w:val="24"/>
          <w:szCs w:val="24"/>
          <w:lang w:val="en-GB"/>
        </w:rPr>
        <w:t xml:space="preserve">: </w:t>
      </w:r>
      <w:r w:rsidRPr="008863A6">
        <w:rPr>
          <w:rFonts w:asciiTheme="majorHAnsi" w:hAnsiTheme="majorHAnsi"/>
          <w:sz w:val="24"/>
          <w:szCs w:val="24"/>
        </w:rPr>
        <w:t xml:space="preserve">Norbert </w:t>
      </w:r>
      <w:proofErr w:type="spellStart"/>
      <w:r w:rsidRPr="008863A6">
        <w:rPr>
          <w:rFonts w:asciiTheme="majorHAnsi" w:hAnsiTheme="majorHAnsi"/>
          <w:sz w:val="24"/>
          <w:szCs w:val="24"/>
        </w:rPr>
        <w:t>Czizmazia</w:t>
      </w:r>
      <w:proofErr w:type="spellEnd"/>
      <w:r w:rsidRPr="008863A6">
        <w:rPr>
          <w:rFonts w:asciiTheme="majorHAnsi" w:hAnsiTheme="majorHAnsi"/>
          <w:sz w:val="24"/>
          <w:szCs w:val="24"/>
        </w:rPr>
        <w:t>, Form and Substance in the Law of Receivables Financing</w:t>
      </w:r>
    </w:p>
    <w:p w:rsidR="00150550" w:rsidRPr="008863A6" w:rsidRDefault="00150550" w:rsidP="00C449A0">
      <w:pPr>
        <w:rPr>
          <w:rFonts w:asciiTheme="majorHAnsi" w:hAnsiTheme="majorHAnsi"/>
          <w:sz w:val="24"/>
          <w:szCs w:val="24"/>
        </w:rPr>
      </w:pPr>
    </w:p>
    <w:p w:rsidR="00150550" w:rsidRPr="008863A6" w:rsidRDefault="00150550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I have also examined many theses, including the following doctoral theses: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Rachel </w:t>
      </w:r>
      <w:proofErr w:type="spellStart"/>
      <w:r w:rsidRPr="008863A6">
        <w:rPr>
          <w:rFonts w:asciiTheme="majorHAnsi" w:hAnsiTheme="majorHAnsi"/>
          <w:sz w:val="24"/>
          <w:szCs w:val="24"/>
        </w:rPr>
        <w:t>Mulheron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</w:t>
      </w:r>
      <w:r w:rsidR="00CB5C08" w:rsidRPr="008863A6">
        <w:rPr>
          <w:rFonts w:asciiTheme="majorHAnsi" w:hAnsiTheme="majorHAnsi"/>
          <w:sz w:val="24"/>
          <w:szCs w:val="24"/>
        </w:rPr>
        <w:t xml:space="preserve">(Oxford) </w:t>
      </w:r>
      <w:r w:rsidRPr="008863A6">
        <w:rPr>
          <w:rFonts w:asciiTheme="majorHAnsi" w:hAnsiTheme="majorHAnsi"/>
          <w:sz w:val="24"/>
          <w:szCs w:val="24"/>
        </w:rPr>
        <w:t>(class actions)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lastRenderedPageBreak/>
        <w:t xml:space="preserve">Evelyn </w:t>
      </w:r>
      <w:proofErr w:type="spellStart"/>
      <w:r w:rsidRPr="008863A6">
        <w:rPr>
          <w:rFonts w:asciiTheme="majorHAnsi" w:hAnsiTheme="majorHAnsi"/>
          <w:sz w:val="24"/>
          <w:szCs w:val="24"/>
        </w:rPr>
        <w:t>Vissier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</w:t>
      </w:r>
      <w:r w:rsidR="00CB5C08" w:rsidRPr="008863A6">
        <w:rPr>
          <w:rFonts w:asciiTheme="majorHAnsi" w:hAnsiTheme="majorHAnsi"/>
          <w:sz w:val="24"/>
          <w:szCs w:val="24"/>
        </w:rPr>
        <w:t xml:space="preserve">(Oxford) </w:t>
      </w:r>
      <w:r w:rsidR="000F48B4" w:rsidRPr="008863A6">
        <w:rPr>
          <w:rFonts w:asciiTheme="majorHAnsi" w:hAnsiTheme="majorHAnsi"/>
          <w:sz w:val="24"/>
          <w:szCs w:val="24"/>
        </w:rPr>
        <w:t>(pre-contractual liability in corporate acquisition: Dutch and English law)</w:t>
      </w:r>
    </w:p>
    <w:p w:rsidR="00150550" w:rsidRPr="008863A6" w:rsidRDefault="00150550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Sean Thomas</w:t>
      </w:r>
      <w:r w:rsidR="00DF3F3E" w:rsidRPr="008863A6">
        <w:rPr>
          <w:rFonts w:asciiTheme="majorHAnsi" w:hAnsiTheme="majorHAnsi"/>
          <w:sz w:val="24"/>
          <w:szCs w:val="24"/>
        </w:rPr>
        <w:t xml:space="preserve"> (Manchester) </w:t>
      </w:r>
      <w:r w:rsidR="000F48B4" w:rsidRPr="008863A6">
        <w:rPr>
          <w:rFonts w:asciiTheme="majorHAnsi" w:hAnsiTheme="majorHAnsi"/>
          <w:sz w:val="24"/>
          <w:szCs w:val="24"/>
        </w:rPr>
        <w:t xml:space="preserve">(nemo </w:t>
      </w:r>
      <w:proofErr w:type="spellStart"/>
      <w:r w:rsidR="000F48B4" w:rsidRPr="008863A6">
        <w:rPr>
          <w:rFonts w:asciiTheme="majorHAnsi" w:hAnsiTheme="majorHAnsi"/>
          <w:sz w:val="24"/>
          <w:szCs w:val="24"/>
        </w:rPr>
        <w:t>dat</w:t>
      </w:r>
      <w:proofErr w:type="spellEnd"/>
      <w:r w:rsidR="000F48B4" w:rsidRPr="008863A6">
        <w:rPr>
          <w:rFonts w:asciiTheme="majorHAnsi" w:hAnsiTheme="majorHAnsi"/>
          <w:sz w:val="24"/>
          <w:szCs w:val="24"/>
        </w:rPr>
        <w:t xml:space="preserve"> exceptions: UK and US </w:t>
      </w:r>
      <w:proofErr w:type="gramStart"/>
      <w:r w:rsidR="000F48B4" w:rsidRPr="008863A6">
        <w:rPr>
          <w:rFonts w:asciiTheme="majorHAnsi" w:hAnsiTheme="majorHAnsi"/>
          <w:sz w:val="24"/>
          <w:szCs w:val="24"/>
        </w:rPr>
        <w:t>law )</w:t>
      </w:r>
      <w:proofErr w:type="gramEnd"/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Noel McGrath (UC Dublin)</w:t>
      </w:r>
      <w:r w:rsidR="000F48B4" w:rsidRPr="008863A6">
        <w:rPr>
          <w:rFonts w:asciiTheme="majorHAnsi" w:hAnsiTheme="majorHAnsi"/>
          <w:sz w:val="24"/>
          <w:szCs w:val="24"/>
        </w:rPr>
        <w:t xml:space="preserve"> </w:t>
      </w:r>
      <w:r w:rsidR="00425DD4" w:rsidRPr="008863A6">
        <w:rPr>
          <w:rFonts w:asciiTheme="majorHAnsi" w:hAnsiTheme="majorHAnsi"/>
          <w:sz w:val="24"/>
          <w:szCs w:val="24"/>
        </w:rPr>
        <w:t>(comparative study of perfection of security interests)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Andrew Higgins</w:t>
      </w:r>
      <w:r w:rsidR="000F48B4" w:rsidRPr="008863A6">
        <w:rPr>
          <w:rFonts w:asciiTheme="majorHAnsi" w:hAnsiTheme="majorHAnsi"/>
          <w:sz w:val="24"/>
          <w:szCs w:val="24"/>
        </w:rPr>
        <w:t xml:space="preserve"> </w:t>
      </w:r>
      <w:r w:rsidR="00CB5C08" w:rsidRPr="008863A6">
        <w:rPr>
          <w:rFonts w:asciiTheme="majorHAnsi" w:hAnsiTheme="majorHAnsi"/>
          <w:sz w:val="24"/>
          <w:szCs w:val="24"/>
        </w:rPr>
        <w:t xml:space="preserve">(Oxford) </w:t>
      </w:r>
      <w:r w:rsidR="000F48B4" w:rsidRPr="008863A6">
        <w:rPr>
          <w:rFonts w:asciiTheme="majorHAnsi" w:hAnsiTheme="majorHAnsi"/>
          <w:sz w:val="24"/>
          <w:szCs w:val="24"/>
        </w:rPr>
        <w:t>(</w:t>
      </w:r>
      <w:r w:rsidR="00425DD4" w:rsidRPr="008863A6">
        <w:rPr>
          <w:rFonts w:asciiTheme="majorHAnsi" w:hAnsiTheme="majorHAnsi"/>
          <w:sz w:val="24"/>
          <w:szCs w:val="24"/>
        </w:rPr>
        <w:t xml:space="preserve">relevance of legal professional </w:t>
      </w:r>
      <w:r w:rsidR="000F48B4" w:rsidRPr="008863A6">
        <w:rPr>
          <w:rFonts w:asciiTheme="majorHAnsi" w:hAnsiTheme="majorHAnsi"/>
          <w:sz w:val="24"/>
          <w:szCs w:val="24"/>
        </w:rPr>
        <w:t>privilege</w:t>
      </w:r>
      <w:r w:rsidR="00425DD4" w:rsidRPr="008863A6">
        <w:rPr>
          <w:rFonts w:asciiTheme="majorHAnsi" w:hAnsiTheme="majorHAnsi"/>
          <w:sz w:val="24"/>
          <w:szCs w:val="24"/>
        </w:rPr>
        <w:t xml:space="preserve"> to corporations</w:t>
      </w:r>
      <w:r w:rsidR="000F48B4" w:rsidRPr="008863A6">
        <w:rPr>
          <w:rFonts w:asciiTheme="majorHAnsi" w:hAnsiTheme="majorHAnsi"/>
          <w:sz w:val="24"/>
          <w:szCs w:val="24"/>
        </w:rPr>
        <w:t>)</w:t>
      </w:r>
    </w:p>
    <w:p w:rsidR="000F48B4" w:rsidRPr="008863A6" w:rsidRDefault="000F48B4" w:rsidP="00C449A0">
      <w:pPr>
        <w:rPr>
          <w:rFonts w:asciiTheme="majorHAnsi" w:hAnsiTheme="majorHAnsi"/>
          <w:sz w:val="24"/>
          <w:szCs w:val="24"/>
        </w:rPr>
      </w:pPr>
      <w:proofErr w:type="spellStart"/>
      <w:r w:rsidRPr="008863A6">
        <w:rPr>
          <w:rFonts w:asciiTheme="majorHAnsi" w:hAnsiTheme="majorHAnsi"/>
          <w:sz w:val="24"/>
          <w:szCs w:val="24"/>
        </w:rPr>
        <w:t>Yani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Huang </w:t>
      </w:r>
      <w:r w:rsidR="00CB5C08" w:rsidRPr="008863A6">
        <w:rPr>
          <w:rFonts w:asciiTheme="majorHAnsi" w:hAnsiTheme="majorHAnsi"/>
          <w:sz w:val="24"/>
          <w:szCs w:val="24"/>
        </w:rPr>
        <w:t xml:space="preserve">(Leicester) </w:t>
      </w:r>
      <w:r w:rsidRPr="008863A6">
        <w:rPr>
          <w:rFonts w:asciiTheme="majorHAnsi" w:hAnsiTheme="majorHAnsi"/>
          <w:sz w:val="24"/>
          <w:szCs w:val="24"/>
        </w:rPr>
        <w:t>(security interests and corporate restructuring)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Kristin Van Zwieten</w:t>
      </w:r>
      <w:r w:rsidR="0078539D" w:rsidRPr="008863A6">
        <w:rPr>
          <w:rFonts w:asciiTheme="majorHAnsi" w:hAnsiTheme="majorHAnsi"/>
          <w:sz w:val="24"/>
          <w:szCs w:val="24"/>
        </w:rPr>
        <w:t xml:space="preserve"> </w:t>
      </w:r>
      <w:r w:rsidR="00CB5C08" w:rsidRPr="008863A6">
        <w:rPr>
          <w:rFonts w:asciiTheme="majorHAnsi" w:hAnsiTheme="majorHAnsi"/>
          <w:sz w:val="24"/>
          <w:szCs w:val="24"/>
        </w:rPr>
        <w:t xml:space="preserve">(Oxford) </w:t>
      </w:r>
      <w:r w:rsidR="0078539D" w:rsidRPr="008863A6">
        <w:rPr>
          <w:rFonts w:asciiTheme="majorHAnsi" w:hAnsiTheme="majorHAnsi"/>
          <w:sz w:val="24"/>
          <w:szCs w:val="24"/>
        </w:rPr>
        <w:t>(</w:t>
      </w:r>
      <w:r w:rsidR="00425DD4" w:rsidRPr="008863A6">
        <w:rPr>
          <w:rFonts w:asciiTheme="majorHAnsi" w:hAnsiTheme="majorHAnsi"/>
          <w:sz w:val="24"/>
          <w:szCs w:val="24"/>
        </w:rPr>
        <w:t xml:space="preserve">the demise of corporate </w:t>
      </w:r>
      <w:r w:rsidR="0078539D" w:rsidRPr="008863A6">
        <w:rPr>
          <w:rFonts w:asciiTheme="majorHAnsi" w:hAnsiTheme="majorHAnsi"/>
          <w:sz w:val="24"/>
          <w:szCs w:val="24"/>
        </w:rPr>
        <w:t xml:space="preserve">insolvency </w:t>
      </w:r>
      <w:r w:rsidR="00425DD4" w:rsidRPr="008863A6">
        <w:rPr>
          <w:rFonts w:asciiTheme="majorHAnsi" w:hAnsiTheme="majorHAnsi"/>
          <w:sz w:val="24"/>
          <w:szCs w:val="24"/>
        </w:rPr>
        <w:t>law in India)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>Magda R</w:t>
      </w:r>
      <w:r w:rsidR="00CC41CE" w:rsidRPr="008863A6">
        <w:rPr>
          <w:rFonts w:asciiTheme="majorHAnsi" w:hAnsiTheme="majorHAnsi"/>
          <w:sz w:val="24"/>
          <w:szCs w:val="24"/>
        </w:rPr>
        <w:t>a</w:t>
      </w:r>
      <w:r w:rsidRPr="008863A6">
        <w:rPr>
          <w:rFonts w:asciiTheme="majorHAnsi" w:hAnsiTheme="majorHAnsi"/>
          <w:sz w:val="24"/>
          <w:szCs w:val="24"/>
        </w:rPr>
        <w:t>czynska (UEA) (security interests in derived assets)</w:t>
      </w:r>
    </w:p>
    <w:p w:rsidR="00F36513" w:rsidRPr="008863A6" w:rsidRDefault="00F36513" w:rsidP="00C449A0">
      <w:pPr>
        <w:rPr>
          <w:rFonts w:asciiTheme="majorHAnsi" w:hAnsiTheme="majorHAnsi"/>
          <w:sz w:val="24"/>
          <w:szCs w:val="24"/>
        </w:rPr>
      </w:pPr>
      <w:proofErr w:type="spellStart"/>
      <w:r w:rsidRPr="008863A6">
        <w:rPr>
          <w:rFonts w:asciiTheme="majorHAnsi" w:hAnsiTheme="majorHAnsi"/>
          <w:sz w:val="24"/>
          <w:szCs w:val="24"/>
        </w:rPr>
        <w:t>Omah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Salah, (University of Tilburg) (Islamic Finance)</w:t>
      </w:r>
    </w:p>
    <w:p w:rsidR="00D15679" w:rsidRPr="008863A6" w:rsidRDefault="00D15679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Kayode Akintola </w:t>
      </w:r>
      <w:r w:rsidR="00CB5C08" w:rsidRPr="008863A6">
        <w:rPr>
          <w:rFonts w:asciiTheme="majorHAnsi" w:hAnsiTheme="majorHAnsi"/>
          <w:sz w:val="24"/>
          <w:szCs w:val="24"/>
        </w:rPr>
        <w:t xml:space="preserve">(Nottingham) </w:t>
      </w:r>
      <w:r w:rsidRPr="008863A6">
        <w:rPr>
          <w:rFonts w:asciiTheme="majorHAnsi" w:hAnsiTheme="majorHAnsi"/>
          <w:sz w:val="24"/>
          <w:szCs w:val="24"/>
        </w:rPr>
        <w:t>(floating charges)</w:t>
      </w:r>
    </w:p>
    <w:p w:rsidR="00A00FD6" w:rsidRPr="008863A6" w:rsidRDefault="00A00FD6" w:rsidP="00C449A0">
      <w:pPr>
        <w:rPr>
          <w:rFonts w:asciiTheme="majorHAnsi" w:hAnsiTheme="majorHAnsi"/>
          <w:sz w:val="24"/>
          <w:szCs w:val="24"/>
        </w:rPr>
      </w:pPr>
      <w:r w:rsidRPr="008863A6">
        <w:rPr>
          <w:rFonts w:asciiTheme="majorHAnsi" w:hAnsiTheme="majorHAnsi"/>
          <w:sz w:val="24"/>
          <w:szCs w:val="24"/>
        </w:rPr>
        <w:t xml:space="preserve">Michael </w:t>
      </w:r>
      <w:proofErr w:type="spellStart"/>
      <w:r w:rsidRPr="008863A6">
        <w:rPr>
          <w:rFonts w:asciiTheme="majorHAnsi" w:hAnsiTheme="majorHAnsi"/>
          <w:sz w:val="24"/>
          <w:szCs w:val="24"/>
        </w:rPr>
        <w:t>Kanu</w:t>
      </w:r>
      <w:proofErr w:type="spellEnd"/>
      <w:r w:rsidRPr="008863A6">
        <w:rPr>
          <w:rFonts w:asciiTheme="majorHAnsi" w:hAnsiTheme="majorHAnsi"/>
          <w:sz w:val="24"/>
          <w:szCs w:val="24"/>
        </w:rPr>
        <w:t xml:space="preserve"> (CEU) (secured transactions law reform in Sierra Leone)</w:t>
      </w:r>
    </w:p>
    <w:p w:rsidR="00DF3F3E" w:rsidRPr="008863A6" w:rsidRDefault="00DF3F3E" w:rsidP="00C449A0">
      <w:pPr>
        <w:rPr>
          <w:rFonts w:asciiTheme="majorHAnsi" w:hAnsiTheme="majorHAnsi"/>
          <w:sz w:val="24"/>
          <w:szCs w:val="24"/>
        </w:rPr>
      </w:pPr>
    </w:p>
    <w:p w:rsidR="00D624B3" w:rsidRPr="008863A6" w:rsidRDefault="00D624B3" w:rsidP="00C449A0">
      <w:pPr>
        <w:rPr>
          <w:rFonts w:asciiTheme="majorHAnsi" w:hAnsiTheme="majorHAnsi"/>
          <w:sz w:val="24"/>
          <w:szCs w:val="24"/>
        </w:rPr>
      </w:pPr>
    </w:p>
    <w:p w:rsidR="00575792" w:rsidRPr="008863A6" w:rsidRDefault="00575792" w:rsidP="00C449A0">
      <w:pPr>
        <w:rPr>
          <w:rFonts w:asciiTheme="majorHAnsi" w:hAnsiTheme="majorHAnsi"/>
          <w:sz w:val="24"/>
          <w:szCs w:val="24"/>
        </w:rPr>
      </w:pPr>
    </w:p>
    <w:p w:rsidR="00575792" w:rsidRPr="008863A6" w:rsidRDefault="00575792" w:rsidP="00C449A0">
      <w:pPr>
        <w:rPr>
          <w:rFonts w:asciiTheme="majorHAnsi" w:hAnsiTheme="majorHAnsi"/>
          <w:sz w:val="24"/>
          <w:szCs w:val="24"/>
        </w:rPr>
      </w:pPr>
    </w:p>
    <w:p w:rsidR="00D624B3" w:rsidRPr="008863A6" w:rsidRDefault="00D624B3" w:rsidP="00C449A0">
      <w:pPr>
        <w:rPr>
          <w:rFonts w:asciiTheme="majorHAnsi" w:hAnsiTheme="majorHAnsi"/>
          <w:sz w:val="24"/>
          <w:szCs w:val="24"/>
        </w:rPr>
      </w:pPr>
    </w:p>
    <w:p w:rsidR="00D624B3" w:rsidRPr="008863A6" w:rsidRDefault="00D624B3" w:rsidP="00C449A0">
      <w:pPr>
        <w:rPr>
          <w:rFonts w:asciiTheme="majorHAnsi" w:hAnsiTheme="majorHAnsi"/>
          <w:sz w:val="24"/>
          <w:szCs w:val="24"/>
        </w:rPr>
      </w:pPr>
    </w:p>
    <w:sectPr w:rsidR="00D624B3" w:rsidRPr="008863A6" w:rsidSect="00F52118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 Caslon Text">
    <w:altName w:val="Kings Caslon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DFF"/>
    <w:multiLevelType w:val="multilevel"/>
    <w:tmpl w:val="91C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2C18"/>
    <w:multiLevelType w:val="hybridMultilevel"/>
    <w:tmpl w:val="B9E0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6F8D"/>
    <w:multiLevelType w:val="hybridMultilevel"/>
    <w:tmpl w:val="CEFAD28E"/>
    <w:lvl w:ilvl="0" w:tplc="EFA081E6">
      <w:start w:val="2006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000EF"/>
    <w:multiLevelType w:val="hybridMultilevel"/>
    <w:tmpl w:val="A9745914"/>
    <w:lvl w:ilvl="0" w:tplc="CCCC647E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2E9"/>
    <w:multiLevelType w:val="hybridMultilevel"/>
    <w:tmpl w:val="86D0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3F34"/>
    <w:multiLevelType w:val="multilevel"/>
    <w:tmpl w:val="EE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85475"/>
    <w:multiLevelType w:val="hybridMultilevel"/>
    <w:tmpl w:val="B0AE7500"/>
    <w:lvl w:ilvl="0" w:tplc="47526EB0">
      <w:start w:val="2000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943D4"/>
    <w:multiLevelType w:val="multilevel"/>
    <w:tmpl w:val="BF00FA06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43"/>
    <w:rsid w:val="00000492"/>
    <w:rsid w:val="0001699E"/>
    <w:rsid w:val="00026985"/>
    <w:rsid w:val="00031481"/>
    <w:rsid w:val="00063994"/>
    <w:rsid w:val="00074DBC"/>
    <w:rsid w:val="0008432B"/>
    <w:rsid w:val="00087DBF"/>
    <w:rsid w:val="000A0068"/>
    <w:rsid w:val="000A33EF"/>
    <w:rsid w:val="000A38F3"/>
    <w:rsid w:val="000A6221"/>
    <w:rsid w:val="000B5346"/>
    <w:rsid w:val="000C08F2"/>
    <w:rsid w:val="000C4697"/>
    <w:rsid w:val="000E034A"/>
    <w:rsid w:val="000F23C6"/>
    <w:rsid w:val="000F48B4"/>
    <w:rsid w:val="000F718B"/>
    <w:rsid w:val="0014025B"/>
    <w:rsid w:val="00140A72"/>
    <w:rsid w:val="00150550"/>
    <w:rsid w:val="0015091C"/>
    <w:rsid w:val="00151F03"/>
    <w:rsid w:val="00164A33"/>
    <w:rsid w:val="001A50C7"/>
    <w:rsid w:val="001B0731"/>
    <w:rsid w:val="001C1DB0"/>
    <w:rsid w:val="001E0BC2"/>
    <w:rsid w:val="001E239F"/>
    <w:rsid w:val="001F0C3D"/>
    <w:rsid w:val="001F4527"/>
    <w:rsid w:val="00201E40"/>
    <w:rsid w:val="0020754F"/>
    <w:rsid w:val="002240D1"/>
    <w:rsid w:val="00235784"/>
    <w:rsid w:val="00246327"/>
    <w:rsid w:val="00251135"/>
    <w:rsid w:val="002717DA"/>
    <w:rsid w:val="00272668"/>
    <w:rsid w:val="00280901"/>
    <w:rsid w:val="00281390"/>
    <w:rsid w:val="00282E84"/>
    <w:rsid w:val="00292E10"/>
    <w:rsid w:val="002A3114"/>
    <w:rsid w:val="002B2A68"/>
    <w:rsid w:val="002C0254"/>
    <w:rsid w:val="002E12A9"/>
    <w:rsid w:val="003028EE"/>
    <w:rsid w:val="00335B21"/>
    <w:rsid w:val="00337158"/>
    <w:rsid w:val="003403E6"/>
    <w:rsid w:val="00340BAA"/>
    <w:rsid w:val="00343EAD"/>
    <w:rsid w:val="00353BBA"/>
    <w:rsid w:val="00393D2F"/>
    <w:rsid w:val="003A0AB7"/>
    <w:rsid w:val="003A5959"/>
    <w:rsid w:val="003A5EBD"/>
    <w:rsid w:val="003B5BA9"/>
    <w:rsid w:val="003C356E"/>
    <w:rsid w:val="003C4911"/>
    <w:rsid w:val="003D1611"/>
    <w:rsid w:val="003D2D22"/>
    <w:rsid w:val="003F0986"/>
    <w:rsid w:val="003F7734"/>
    <w:rsid w:val="00400CEE"/>
    <w:rsid w:val="00404785"/>
    <w:rsid w:val="00405A10"/>
    <w:rsid w:val="00405EC1"/>
    <w:rsid w:val="00407877"/>
    <w:rsid w:val="00413E84"/>
    <w:rsid w:val="00416307"/>
    <w:rsid w:val="00425DD4"/>
    <w:rsid w:val="0043333C"/>
    <w:rsid w:val="00441961"/>
    <w:rsid w:val="004573E3"/>
    <w:rsid w:val="00460772"/>
    <w:rsid w:val="00464133"/>
    <w:rsid w:val="00474AFE"/>
    <w:rsid w:val="00484FF2"/>
    <w:rsid w:val="00496982"/>
    <w:rsid w:val="004A04CD"/>
    <w:rsid w:val="004B7EB7"/>
    <w:rsid w:val="00502F3C"/>
    <w:rsid w:val="00505A45"/>
    <w:rsid w:val="005271E9"/>
    <w:rsid w:val="00531AC4"/>
    <w:rsid w:val="005501FA"/>
    <w:rsid w:val="00575792"/>
    <w:rsid w:val="00577B53"/>
    <w:rsid w:val="00586535"/>
    <w:rsid w:val="005879C7"/>
    <w:rsid w:val="00592CF0"/>
    <w:rsid w:val="005B2037"/>
    <w:rsid w:val="005B2446"/>
    <w:rsid w:val="005C7EF8"/>
    <w:rsid w:val="005F29BA"/>
    <w:rsid w:val="00605F41"/>
    <w:rsid w:val="00612E8C"/>
    <w:rsid w:val="006147DD"/>
    <w:rsid w:val="0063240E"/>
    <w:rsid w:val="006344DE"/>
    <w:rsid w:val="00634972"/>
    <w:rsid w:val="006511D1"/>
    <w:rsid w:val="00651455"/>
    <w:rsid w:val="00655FBF"/>
    <w:rsid w:val="00671259"/>
    <w:rsid w:val="00675BD4"/>
    <w:rsid w:val="00697A64"/>
    <w:rsid w:val="006E56EE"/>
    <w:rsid w:val="006E61DC"/>
    <w:rsid w:val="006E72AF"/>
    <w:rsid w:val="006E748D"/>
    <w:rsid w:val="007059C0"/>
    <w:rsid w:val="0073599C"/>
    <w:rsid w:val="00763E01"/>
    <w:rsid w:val="007654B1"/>
    <w:rsid w:val="00774869"/>
    <w:rsid w:val="0078539D"/>
    <w:rsid w:val="007B3E38"/>
    <w:rsid w:val="007B7E07"/>
    <w:rsid w:val="007C54C4"/>
    <w:rsid w:val="007D21DB"/>
    <w:rsid w:val="007D423F"/>
    <w:rsid w:val="007F19AC"/>
    <w:rsid w:val="007F3B6D"/>
    <w:rsid w:val="008058D6"/>
    <w:rsid w:val="0081099A"/>
    <w:rsid w:val="008169D0"/>
    <w:rsid w:val="00817043"/>
    <w:rsid w:val="00822EF3"/>
    <w:rsid w:val="0085350A"/>
    <w:rsid w:val="00863008"/>
    <w:rsid w:val="0086616B"/>
    <w:rsid w:val="008670CC"/>
    <w:rsid w:val="00884E4B"/>
    <w:rsid w:val="008863A6"/>
    <w:rsid w:val="00887B76"/>
    <w:rsid w:val="00893165"/>
    <w:rsid w:val="00896487"/>
    <w:rsid w:val="00896F79"/>
    <w:rsid w:val="008A382E"/>
    <w:rsid w:val="008A5A6B"/>
    <w:rsid w:val="008B1AE2"/>
    <w:rsid w:val="008C2B61"/>
    <w:rsid w:val="008C6C67"/>
    <w:rsid w:val="008D68AB"/>
    <w:rsid w:val="008E4E96"/>
    <w:rsid w:val="008F04AE"/>
    <w:rsid w:val="008F3C72"/>
    <w:rsid w:val="00906D06"/>
    <w:rsid w:val="009201F1"/>
    <w:rsid w:val="00927296"/>
    <w:rsid w:val="0093423E"/>
    <w:rsid w:val="00941318"/>
    <w:rsid w:val="00944F91"/>
    <w:rsid w:val="00993DCC"/>
    <w:rsid w:val="0099727A"/>
    <w:rsid w:val="009C51E7"/>
    <w:rsid w:val="009D5F59"/>
    <w:rsid w:val="009F080F"/>
    <w:rsid w:val="00A00FD6"/>
    <w:rsid w:val="00A05C2A"/>
    <w:rsid w:val="00A11449"/>
    <w:rsid w:val="00A15B15"/>
    <w:rsid w:val="00A2153D"/>
    <w:rsid w:val="00A42590"/>
    <w:rsid w:val="00A50AF3"/>
    <w:rsid w:val="00A5407C"/>
    <w:rsid w:val="00A621AC"/>
    <w:rsid w:val="00A643C0"/>
    <w:rsid w:val="00A67B9D"/>
    <w:rsid w:val="00A73920"/>
    <w:rsid w:val="00A80672"/>
    <w:rsid w:val="00A93E74"/>
    <w:rsid w:val="00A97AC1"/>
    <w:rsid w:val="00A97E23"/>
    <w:rsid w:val="00AB394B"/>
    <w:rsid w:val="00AC0947"/>
    <w:rsid w:val="00AC1327"/>
    <w:rsid w:val="00AC24E2"/>
    <w:rsid w:val="00AD2F77"/>
    <w:rsid w:val="00B1077A"/>
    <w:rsid w:val="00B2101B"/>
    <w:rsid w:val="00B2466E"/>
    <w:rsid w:val="00B465C1"/>
    <w:rsid w:val="00B505AA"/>
    <w:rsid w:val="00B74F33"/>
    <w:rsid w:val="00BB0D89"/>
    <w:rsid w:val="00BB124D"/>
    <w:rsid w:val="00BD65BB"/>
    <w:rsid w:val="00BE28A8"/>
    <w:rsid w:val="00BF740E"/>
    <w:rsid w:val="00C005F1"/>
    <w:rsid w:val="00C12EEB"/>
    <w:rsid w:val="00C372FC"/>
    <w:rsid w:val="00C449A0"/>
    <w:rsid w:val="00C46DC0"/>
    <w:rsid w:val="00C61140"/>
    <w:rsid w:val="00CA1694"/>
    <w:rsid w:val="00CA4677"/>
    <w:rsid w:val="00CA5312"/>
    <w:rsid w:val="00CA579C"/>
    <w:rsid w:val="00CB25C9"/>
    <w:rsid w:val="00CB5C08"/>
    <w:rsid w:val="00CC2686"/>
    <w:rsid w:val="00CC41CE"/>
    <w:rsid w:val="00CF701C"/>
    <w:rsid w:val="00D018B1"/>
    <w:rsid w:val="00D02BF4"/>
    <w:rsid w:val="00D14DE5"/>
    <w:rsid w:val="00D15679"/>
    <w:rsid w:val="00D308F8"/>
    <w:rsid w:val="00D5032C"/>
    <w:rsid w:val="00D527DC"/>
    <w:rsid w:val="00D54090"/>
    <w:rsid w:val="00D5547E"/>
    <w:rsid w:val="00D624B3"/>
    <w:rsid w:val="00D65975"/>
    <w:rsid w:val="00D734B2"/>
    <w:rsid w:val="00D83CBA"/>
    <w:rsid w:val="00D96FF0"/>
    <w:rsid w:val="00DB3F11"/>
    <w:rsid w:val="00DC5637"/>
    <w:rsid w:val="00DE0BDF"/>
    <w:rsid w:val="00DE74FC"/>
    <w:rsid w:val="00DF0726"/>
    <w:rsid w:val="00DF3F3E"/>
    <w:rsid w:val="00E0567E"/>
    <w:rsid w:val="00E0773B"/>
    <w:rsid w:val="00E13643"/>
    <w:rsid w:val="00E233EC"/>
    <w:rsid w:val="00E31977"/>
    <w:rsid w:val="00E335A2"/>
    <w:rsid w:val="00E47060"/>
    <w:rsid w:val="00E54971"/>
    <w:rsid w:val="00E6269D"/>
    <w:rsid w:val="00E730EB"/>
    <w:rsid w:val="00E73A73"/>
    <w:rsid w:val="00E9544E"/>
    <w:rsid w:val="00EA4CDE"/>
    <w:rsid w:val="00EB1098"/>
    <w:rsid w:val="00ED32B3"/>
    <w:rsid w:val="00EE0132"/>
    <w:rsid w:val="00F14B3C"/>
    <w:rsid w:val="00F21FC6"/>
    <w:rsid w:val="00F33832"/>
    <w:rsid w:val="00F36513"/>
    <w:rsid w:val="00F52118"/>
    <w:rsid w:val="00F60BD8"/>
    <w:rsid w:val="00F621AD"/>
    <w:rsid w:val="00F77E9A"/>
    <w:rsid w:val="00F8084F"/>
    <w:rsid w:val="00F8651C"/>
    <w:rsid w:val="00F8758E"/>
    <w:rsid w:val="00FA0128"/>
    <w:rsid w:val="00FA596E"/>
    <w:rsid w:val="00FA760F"/>
    <w:rsid w:val="00FB7C1F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CF11D-3547-4BC3-BB7B-B071C8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rsid w:val="008058D6"/>
    <w:pPr>
      <w:keepNext/>
      <w:outlineLvl w:val="1"/>
    </w:pPr>
    <w:rPr>
      <w:sz w:val="24"/>
      <w:lang w:val="fr-FR"/>
    </w:rPr>
  </w:style>
  <w:style w:type="paragraph" w:styleId="Heading4">
    <w:name w:val="heading 4"/>
    <w:basedOn w:val="Normal"/>
    <w:next w:val="Normal"/>
    <w:qFormat/>
    <w:rsid w:val="008058D6"/>
    <w:pPr>
      <w:keepNext/>
      <w:outlineLvl w:val="3"/>
    </w:pPr>
    <w:rPr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8058D6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27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7DA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3"/>
    <w:basedOn w:val="Normal"/>
    <w:rsid w:val="001C1DB0"/>
    <w:pPr>
      <w:spacing w:before="90" w:after="90"/>
    </w:pPr>
    <w:rPr>
      <w:rFonts w:ascii="Arial" w:hAnsi="Arial" w:cs="Arial"/>
      <w:sz w:val="18"/>
      <w:szCs w:val="18"/>
      <w:lang w:val="en-GB" w:eastAsia="en-GB"/>
    </w:rPr>
  </w:style>
  <w:style w:type="character" w:customStyle="1" w:styleId="slug-doi">
    <w:name w:val="slug-doi"/>
    <w:rsid w:val="009C51E7"/>
  </w:style>
  <w:style w:type="character" w:styleId="Strong">
    <w:name w:val="Strong"/>
    <w:basedOn w:val="DefaultParagraphFont"/>
    <w:uiPriority w:val="22"/>
    <w:qFormat/>
    <w:rsid w:val="007B7E07"/>
    <w:rPr>
      <w:b/>
      <w:bCs/>
    </w:rPr>
  </w:style>
  <w:style w:type="paragraph" w:styleId="NormalWeb">
    <w:name w:val="Normal (Web)"/>
    <w:basedOn w:val="Normal"/>
    <w:uiPriority w:val="99"/>
    <w:unhideWhenUsed/>
    <w:rsid w:val="007B7E07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E0BC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E0B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E0B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E0B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E0BC2"/>
    <w:rPr>
      <w:rFonts w:ascii="Arial" w:hAnsi="Arial" w:cs="Arial"/>
      <w:vanish/>
      <w:sz w:val="16"/>
      <w:szCs w:val="16"/>
    </w:rPr>
  </w:style>
  <w:style w:type="character" w:customStyle="1" w:styleId="citation-btn-label">
    <w:name w:val="citation-btn-label"/>
    <w:basedOn w:val="DefaultParagraphFont"/>
    <w:rsid w:val="001E0BC2"/>
  </w:style>
  <w:style w:type="paragraph" w:styleId="ListParagraph">
    <w:name w:val="List Paragraph"/>
    <w:basedOn w:val="Normal"/>
    <w:uiPriority w:val="34"/>
    <w:qFormat/>
    <w:rsid w:val="000A33EF"/>
    <w:pPr>
      <w:ind w:left="720"/>
      <w:contextualSpacing/>
    </w:pPr>
  </w:style>
  <w:style w:type="paragraph" w:customStyle="1" w:styleId="Default">
    <w:name w:val="Default"/>
    <w:rsid w:val="007B3E3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9F080F"/>
    <w:rPr>
      <w:rFonts w:ascii="Courier New" w:hAnsi="Courier New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E4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3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1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74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84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60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56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94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8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19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4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74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78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3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33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8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8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8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36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12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35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4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81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5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1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39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1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0176">
                          <w:marLeft w:val="3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1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8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5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44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490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8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8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0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36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2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4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5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83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9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9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02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6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7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94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3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0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40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23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41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1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04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8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9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17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7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8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3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8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03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47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00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3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49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dtransactionslawreformproject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w.ox.ac.uk/research-subject-groups/commercial-law-centre" TargetMode="External"/><Relationship Id="rId12" Type="http://schemas.openxmlformats.org/officeDocument/2006/relationships/hyperlink" Target="https://www.law.ox.ac.uk/research-subject-groups/economic-assessment-international-commercial-law-re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uise.gullifer@hmc.ox.ac.uk" TargetMode="External"/><Relationship Id="rId11" Type="http://schemas.openxmlformats.org/officeDocument/2006/relationships/hyperlink" Target="https://www.law.ox.ac.uk/research-subject-groups/best-practices-field-electronic-registry-design-and-oper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w.ox.ac.uk/research-and-subject-groups/intermediation-and-bey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ox.ac.uk/research-subject-groups/cape-town-convention-academic-proje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CE4B-9C43-4D0B-88C0-E6E92E9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LOUISE GULLIFER</vt:lpstr>
    </vt:vector>
  </TitlesOfParts>
  <Company>OEM Preinstall</Company>
  <LinksUpToDate>false</LinksUpToDate>
  <CharactersWithSpaces>27970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mailto:louise.gullifer@hmc.ox.ac.uk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LOUISE GULLIFER</dc:title>
  <dc:creator>louise gullifer</dc:creator>
  <cp:lastModifiedBy>Louise Gullifer</cp:lastModifiedBy>
  <cp:revision>4</cp:revision>
  <cp:lastPrinted>2018-06-26T09:13:00Z</cp:lastPrinted>
  <dcterms:created xsi:type="dcterms:W3CDTF">2019-03-27T07:52:00Z</dcterms:created>
  <dcterms:modified xsi:type="dcterms:W3CDTF">2019-07-18T08:53:00Z</dcterms:modified>
</cp:coreProperties>
</file>